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P0H: RESEARCH SYNTHESIS</w:t>
      </w:r>
    </w:p>
    <w:p>
      <w:pPr>
        <w:spacing w:after="200"/>
        <w:jc w:val="center"/>
      </w:pPr>
      <w:r>
        <w:rPr>
          <w:rFonts w:ascii="Arial" w:cs="Arial" w:eastAsia="Arial" w:hAnsi="Arial"/>
          <w:b/>
          <w:bCs/>
          <w:color w:val="1B3A6B"/>
          <w:sz w:val="44"/>
          <w:szCs w:val="44"/>
        </w:rPr>
        <w:t xml:space="preserve">&amp; GO/NO-GO DECISION</w:t>
      </w:r>
    </w:p>
    <w:p>
      <w:pPr>
        <w:pBdr>
          <w:bottom w:val="single" w:color="2E5090" w:sz="6" w:space="12"/>
        </w:pBdr>
        <w:spacing w:after="100"/>
        <w:jc w:val="center"/>
      </w:pPr>
      <w:r>
        <w:rPr>
          <w:rFonts w:ascii="Arial" w:cs="Arial" w:eastAsia="Arial" w:hAnsi="Arial"/>
          <w:color w:val="666666"/>
          <w:sz w:val="24"/>
          <w:szCs w:val="24"/>
        </w:rPr>
        <w:t xml:space="preserve">Sub-Project P0H  |  Market Research &amp; Concept Validation  |  Final Synthesis</w:t>
      </w:r>
    </w:p>
    <w:p>
      <w:pPr>
        <w:spacing w:before="400"/>
        <w:jc w:val="center"/>
      </w:pPr>
      <w:r>
        <w:rPr>
          <w:rFonts w:ascii="Arial" w:cs="Arial" w:eastAsia="Arial" w:hAnsi="Arial"/>
          <w:i/>
          <w:iCs/>
          <w:color w:val="888888"/>
          <w:sz w:val="22"/>
          <w:szCs w:val="22"/>
        </w:rPr>
        <w:t xml:space="preserve">Executive Decision Framework Synthesizing All P0A–P0G Research Findings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RECOMMENDATION: GO</w:t>
      </w:r>
    </w:p>
    <w:p>
      <w:pPr>
        <w:spacing w:after="300"/>
        <w:jc w:val="center"/>
      </w:pPr>
      <w:r>
        <w:rPr>
          <w:rFonts w:ascii="Arial" w:cs="Arial" w:eastAsia="Arial" w:hAnsi="Arial"/>
          <w:b/>
          <w:bCs/>
          <w:color w:val="1B7340"/>
          <w:sz w:val="36"/>
          <w:szCs w:val="36"/>
        </w:rPr>
        <w:t xml:space="preserve">✅  PROCEED TO LAUNCH  ✅</w:t>
      </w:r>
    </w:p>
    <w:p>
      <w:pPr>
        <w:spacing w:after="160"/>
      </w:pPr>
      <w:r>
        <w:rPr>
          <w:rFonts w:ascii="Arial" w:cs="Arial" w:eastAsia="Arial" w:hAnsi="Arial"/>
          <w:b/>
          <w:bCs/>
          <w:i w:val="false"/>
          <w:iCs w:val="false"/>
          <w:color w:val="000000"/>
          <w:sz w:val="22"/>
          <w:szCs w:val="22"/>
        </w:rPr>
        <w:t xml:space="preserve">After synthesizing 7 research subprojects covering waste landscape, competitive analysis, B2B customer discovery, DTC customer discovery, material science, unit economics, and B2B channel intelligence, the recommendation is a clear GO </w:t>
      </w:r>
      <w:r>
        <w:rPr>
          <w:rFonts w:ascii="Arial" w:cs="Arial" w:eastAsia="Arial" w:hAnsi="Arial"/>
          <w:b w:val="false"/>
          <w:bCs w:val="false"/>
          <w:i w:val="false"/>
          <w:iCs w:val="false"/>
          <w:color w:val="000000"/>
          <w:sz w:val="22"/>
          <w:szCs w:val="22"/>
        </w:rPr>
        <w:t xml:space="preserve">with three conditional items requiring parallel management (certification timeline, shelf life operations, and end-of-life composting infrastructure).</w:t>
      </w:r>
    </w:p>
    <w:p>
      <w:pPr>
        <w:spacing w:after="160"/>
      </w:pPr>
      <w:r>
        <w:rPr>
          <w:rFonts w:ascii="Arial" w:cs="Arial" w:eastAsia="Arial" w:hAnsi="Arial"/>
          <w:b/>
          <w:bCs/>
          <w:i w:val="false"/>
          <w:iCs w:val="false"/>
          <w:color w:val="000000"/>
          <w:sz w:val="22"/>
          <w:szCs w:val="22"/>
        </w:rPr>
        <w:t xml:space="preserve">The opportunity: </w:t>
      </w:r>
      <w:r>
        <w:rPr>
          <w:rFonts w:ascii="Arial" w:cs="Arial" w:eastAsia="Arial" w:hAnsi="Arial"/>
          <w:b w:val="false"/>
          <w:bCs w:val="false"/>
          <w:i w:val="false"/>
          <w:iCs w:val="false"/>
          <w:color w:val="000000"/>
          <w:sz w:val="22"/>
          <w:szCs w:val="22"/>
        </w:rPr>
        <w:t xml:space="preserve">a compostable metallized warmth poncho targeting 2.5M+ annual US marathon/half-marathon finishers in a $0 competitive whitespace (no existing product combines compostability + warmth + marathon specificity). Achievable at $1.34–$1.94 COGS, $9.99 retail, 55–75% gross margin, with Year 1 profitability at moderate ($35–50K) investment.</w:t>
      </w:r>
    </w:p>
    <w:p>
      <w:r>
        <w:br w:type="page"/>
      </w:r>
    </w:p>
    <w:p>
      <w:pPr>
        <w:pStyle w:val="Heading1"/>
        <w:spacing w:before="360" w:after="200"/>
      </w:pPr>
      <w:r>
        <w:rPr>
          <w:rFonts w:ascii="Arial" w:cs="Arial" w:eastAsia="Arial" w:hAnsi="Arial"/>
        </w:rPr>
        <w:t xml:space="preserve">1. Go/No-Go Scorecard: 10 Decision Criteria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3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Verdict</w:t>
            </w:r>
          </w:p>
        </w:tc>
        <w:tc>
          <w:tcPr>
            <w:tcW w:type="dxa" w:w="5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Evidence Summary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PROBLEM VALIDATION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STRONG GO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100% of cold-weather marathon runners face 30–180 min start-line warmth gap. 230,000+ lbs waste at top 3 US marathons alone. 2,527 hypothermia cases at 2018 Boston.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MARKET 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STRONG GO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432K marathon + 2.1M half-marathon finishers. SAM: 800K–1.4M cold-weather participants. Year 1 obtainable: 15K–50K units.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COMPETITIVE WHITESPACE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STRONG GO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ZERO compostable + warm + marathon-specific competitors. Heatsheets owns finish (not start). GreenGear not compostable. JOSANTO no warmth.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CUSTOMER WILLINGNESS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73% earn $75K+ HHI. $1,748/yr running spend. $9.99 = &lt;0.6% of annual spend. Heatsheets poncho sold out at Boston expo.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TECHNICAL FEASIBILITY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Futamura NatureFlex NM, Celplast ENVIROMET, TIPA 312MET all proven. 95–97% IR reflection = Heatsheets equivalent. Prototype achievable in 2–3 weeks.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UNIT ECONOMICS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COGS $1.34–$1.94 at 25–100K. $9.99 retail = 55–75% gross margin. Registration add-ons: 60% net margin.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CERTIFICATION TIMELINE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CONDITIONAL GO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BPI cert: 12–18 months, $15–45K. Can leverage NatureFlex NM existing certs. Soft launch possible pre-cert with supplier certifications.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SHELF LIFE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CONDITIONAL GO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PLA/cellulose films: 6–18 months with climate-controlled storage. Requires FIFO + moisture barrier packaging. Not a dealbreaker but adds operational complexity.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SUSTAINABILITY CLAIMS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CONDITIONAL GO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Must be specific + qualified. “Certified compostable” = defensible. “Eco-friendly” = risky. End-of-life requires race composting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MASS MARKET AWARENESS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NOT YET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Runners don’t know this product exists. Requires education + trial. Budget $18–55K marketing Year 1. Mitigated by expo sampling + community seeding.</w:t>
            </w:r>
          </w:p>
        </w:tc>
      </w:tr>
    </w:tbl>
    <w:p>
      <w:pPr>
        <w:spacing w:before="200"/>
      </w:pPr>
    </w:p>
    <w:p>
      <w:pPr>
        <w:spacing w:after="160"/>
      </w:pPr>
      <w:r>
        <w:rPr>
          <w:rFonts w:ascii="Arial" w:cs="Arial" w:eastAsia="Arial" w:hAnsi="Arial"/>
          <w:b/>
          <w:bCs/>
          <w:i w:val="false"/>
          <w:iCs w:val="false"/>
          <w:color w:val="000000"/>
          <w:sz w:val="22"/>
          <w:szCs w:val="22"/>
        </w:rPr>
        <w:t xml:space="preserve">Score: 6 STRONG GO / GO + 3 CONDITIONAL GO + 1 NOT YET = OVERALL GO. </w:t>
      </w:r>
      <w:r>
        <w:rPr>
          <w:rFonts w:ascii="Arial" w:cs="Arial" w:eastAsia="Arial" w:hAnsi="Arial"/>
          <w:b w:val="false"/>
          <w:bCs w:val="false"/>
          <w:i w:val="false"/>
          <w:iCs w:val="false"/>
          <w:color w:val="000000"/>
          <w:sz w:val="22"/>
          <w:szCs w:val="22"/>
        </w:rPr>
        <w:t xml:space="preserve">No criteria scored NO-GO. The three conditionals are manageable operational challenges, not fundamental market or product flaws. The single “Not Yet” (market awareness) is inherent to any new product launch and is mitigated by the targeted, community-driven marketing strategy.</w:t>
      </w:r>
    </w:p>
    <w:p>
      <w:r>
        <w:br w:type="page"/>
      </w:r>
    </w:p>
    <w:p>
      <w:pPr>
        <w:pStyle w:val="Heading1"/>
        <w:spacing w:before="360" w:after="200"/>
      </w:pPr>
      <w:r>
        <w:rPr>
          <w:rFonts w:ascii="Arial" w:cs="Arial" w:eastAsia="Arial" w:hAnsi="Arial"/>
        </w:rPr>
        <w:t xml:space="preserve">2. Key Findings Synthesis: P0A Through P0G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Subproject</w:t>
            </w:r>
          </w:p>
        </w:tc>
        <w:tc>
          <w:tcPr>
            <w:tcW w:type="dxa" w:w="7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Core Findings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P0A: Waste Landscape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230,000+ lbs clothing waste at NYC+Chicago+Boston. 30+ race orgs with sustainability programs. CRS certified 150+ events. Municipal composting mandates in 10+ cities.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P0B: Competitive Landscape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Heatsheets: 45-yr incumbent, $1.43–$4.30/unit, recyclable NOT compostable. 9 compostable poncho manufacturers globally (none with warmth). Metallized compostable film PROVEN (Futamura, Celplast, TIPA, Parkside).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P0C: Race Directors B2B</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53 prioritized cold-weather races in 3 tiers. 7 database platforms for prospecting. Procurement: 2–4 months for consumables. Sponsor pressure (TCS $40M/yr, BofA mandates compostable). Trade shows: RRCA Apr 2026, TRE Dec 2026, Running USA Jan 2027.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P0D: Individual Runners DTC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432K marathon finishers; 73% earn $75K+; 76%+ college degree. Start-line: 30–180 min waits; garbage bags ~30–40%; thrift store ~50–60%. Sustainability ranks LAST in gear criteria but 63% say it “plays a part.” Price sweet spot: $7.99–$9.99.</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P0E: Material Science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NatureFlex NM: 23µm metallized cellulose, BPI + TUV + OK Home certified. Config B (met film + PLA nonwoven): 2.5–3.0 CLO, $1.15/unit at 100K. Dual cert: $35–$75K, 12–18 months. Prototype: $375, 2–3 weeks.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P0F: Pricing &amp; Economics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COGS: $1.34–$2.48 (100K–5K). $9.99 Amazon = Low-Price FBA optimal. Reg add-ons: 60% net margin ($6.07/unit). Breakeven: ~10,600–21,300 units. Year 1 Moderate scenario: $155–175K revenue, $5–25K profit at $35–50K investment.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P0G: B2B Channels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 channels mapped. Priority: (1) reg add-ons, (2) direct B2B, (3) Fleet Feet (280+ stores, vendor partner program), (4) expos. CRS certification credit is the #1 B2B selling tool. RFS Industry Partner ($1K/yr) for grassroots reach.</w:t>
            </w:r>
          </w:p>
        </w:tc>
      </w:tr>
    </w:tbl>
    <w:p>
      <w:r>
        <w:br w:type="page"/>
      </w:r>
    </w:p>
    <w:p>
      <w:pPr>
        <w:pStyle w:val="Heading1"/>
        <w:spacing w:before="360" w:after="200"/>
      </w:pPr>
      <w:r>
        <w:rPr>
          <w:rFonts w:ascii="Arial" w:cs="Arial" w:eastAsia="Arial" w:hAnsi="Arial"/>
        </w:rPr>
        <w:t xml:space="preserve">3. The Five Pillars of Competitive Advantage</w:t>
      </w:r>
    </w:p>
    <w:p>
      <w:pPr>
        <w:pStyle w:val="Heading2"/>
        <w:spacing w:before="280" w:after="160"/>
      </w:pPr>
      <w:r>
        <w:rPr>
          <w:rFonts w:ascii="Arial" w:cs="Arial" w:eastAsia="Arial" w:hAnsi="Arial"/>
        </w:rPr>
        <w:t xml:space="preserve">3.1 Pillar 1: Category Creation</w:t>
      </w:r>
    </w:p>
    <w:p>
      <w:pPr>
        <w:spacing w:after="160"/>
      </w:pPr>
      <w:r>
        <w:rPr>
          <w:rFonts w:ascii="Arial" w:cs="Arial" w:eastAsia="Arial" w:hAnsi="Arial"/>
          <w:b/>
          <w:bCs/>
          <w:i w:val="false"/>
          <w:iCs w:val="false"/>
          <w:color w:val="000000"/>
          <w:sz w:val="22"/>
          <w:szCs w:val="22"/>
        </w:rPr>
        <w:t xml:space="preserve">No product exists at the intersection of compostable + warm + marathon-specific. </w:t>
      </w:r>
      <w:r>
        <w:rPr>
          <w:rFonts w:ascii="Arial" w:cs="Arial" w:eastAsia="Arial" w:hAnsi="Arial"/>
          <w:b w:val="false"/>
          <w:bCs w:val="false"/>
          <w:i w:val="false"/>
          <w:iCs w:val="false"/>
          <w:color w:val="000000"/>
          <w:sz w:val="22"/>
          <w:szCs w:val="22"/>
        </w:rPr>
        <w:t xml:space="preserve">Heatsheets owns the finish line with 45 years of relationships but is NOT compostable and does NOT serve the start line. GreenGear’s EcoRain ($6.50) is the closest eco-competitor but is NOT compostable (recyclable #4 plastic) and provides NO warmth (rain protection only). JOSANTO offers genuine compostable ponchos but targets festivals with NO metallization and NO US marathon presence. This is a category-creation opportunity, not a competitive displacement play.</w:t>
      </w:r>
    </w:p>
    <w:p>
      <w:pPr>
        <w:pStyle w:val="Heading2"/>
        <w:spacing w:before="280" w:after="160"/>
      </w:pPr>
      <w:r>
        <w:rPr>
          <w:rFonts w:ascii="Arial" w:cs="Arial" w:eastAsia="Arial" w:hAnsi="Arial"/>
        </w:rPr>
        <w:t xml:space="preserve">3.2 Pillar 2: Structural Tailwinds</w:t>
      </w:r>
    </w:p>
    <w:p>
      <w:pPr>
        <w:spacing w:after="160"/>
      </w:pPr>
      <w:r>
        <w:rPr>
          <w:rFonts w:ascii="Arial" w:cs="Arial" w:eastAsia="Arial" w:hAnsi="Arial"/>
          <w:b w:val="false"/>
          <w:bCs w:val="false"/>
          <w:i w:val="false"/>
          <w:iCs w:val="false"/>
          <w:color w:val="000000"/>
          <w:sz w:val="22"/>
          <w:szCs w:val="22"/>
        </w:rPr>
        <w:t xml:space="preserve">Three macro trends converge: (1) Race sustainability is accelerating — CRS certifications growing, Bank of America mandates compostable, NYRR targets net-zero by 2040. (2) Marathon participation at record levels — 432K finishers in 2024, 5% YoY growth, 25–29 age cohort now largest. (3) Compostable materials are maturing — NatureWorks Ingeo Extend (8× faster composting, Mar 2025), TIPA 312MET (home-compostable metallized, Feb 2025).</w:t>
      </w:r>
    </w:p>
    <w:p>
      <w:pPr>
        <w:pStyle w:val="Heading2"/>
        <w:spacing w:before="280" w:after="160"/>
      </w:pPr>
      <w:r>
        <w:rPr>
          <w:rFonts w:ascii="Arial" w:cs="Arial" w:eastAsia="Arial" w:hAnsi="Arial"/>
        </w:rPr>
        <w:t xml:space="preserve">3.3 Pillar 3: Affluent, Reachable Customer Base</w:t>
      </w:r>
    </w:p>
    <w:p>
      <w:pPr>
        <w:spacing w:after="160"/>
      </w:pPr>
      <w:r>
        <w:rPr>
          <w:rFonts w:ascii="Arial" w:cs="Arial" w:eastAsia="Arial" w:hAnsi="Arial"/>
          <w:b w:val="false"/>
          <w:bCs w:val="false"/>
          <w:i w:val="false"/>
          <w:iCs w:val="false"/>
          <w:color w:val="000000"/>
          <w:sz w:val="22"/>
          <w:szCs w:val="22"/>
        </w:rPr>
        <w:t xml:space="preserve">Marathon runners: 73% earn $75K+, 76%+ college degree, $1,748/yr running spend, 194% more likely to be in top socioeconomic segment (Strava data). Reachable via Strava (180M users), Instagram, r/running (3.5M+), running podcasts (Ali on the Run 20M+ downloads), and Fleet Feet (280+ stores with weekly group runs).</w:t>
      </w:r>
    </w:p>
    <w:p>
      <w:pPr>
        <w:pStyle w:val="Heading2"/>
        <w:spacing w:before="280" w:after="160"/>
      </w:pPr>
      <w:r>
        <w:rPr>
          <w:rFonts w:ascii="Arial" w:cs="Arial" w:eastAsia="Arial" w:hAnsi="Arial"/>
        </w:rPr>
        <w:t xml:space="preserve">3.4 Pillar 4: Multi-Channel Revenue Model</w:t>
      </w:r>
    </w:p>
    <w:p>
      <w:pPr>
        <w:spacing w:after="160"/>
      </w:pPr>
      <w:r>
        <w:rPr>
          <w:rFonts w:ascii="Arial" w:cs="Arial" w:eastAsia="Arial" w:hAnsi="Arial"/>
          <w:b w:val="false"/>
          <w:bCs w:val="false"/>
          <w:i w:val="false"/>
          <w:iCs w:val="false"/>
          <w:color w:val="000000"/>
          <w:sz w:val="22"/>
          <w:szCs w:val="22"/>
        </w:rPr>
        <w:t xml:space="preserve">Eight validated B2B channels with registration add-ons as the highest-margin (60% net) anchor. Amazon provides volume and discoverability. Expos build brand. Fleet Feet provides credibility. Direct B2B locks race partnerships. Sponsor co-branding offsets costs. No single-channel dependency.</w:t>
      </w:r>
    </w:p>
    <w:p>
      <w:pPr>
        <w:pStyle w:val="Heading2"/>
        <w:spacing w:before="280" w:after="160"/>
      </w:pPr>
      <w:r>
        <w:rPr>
          <w:rFonts w:ascii="Arial" w:cs="Arial" w:eastAsia="Arial" w:hAnsi="Arial"/>
        </w:rPr>
        <w:t xml:space="preserve">3.5 Pillar 5: Defensible Through Speed</w:t>
      </w:r>
    </w:p>
    <w:p>
      <w:pPr>
        <w:spacing w:after="160"/>
      </w:pPr>
      <w:r>
        <w:rPr>
          <w:rFonts w:ascii="Arial" w:cs="Arial" w:eastAsia="Arial" w:hAnsi="Arial"/>
          <w:b w:val="false"/>
          <w:bCs w:val="false"/>
          <w:i w:val="false"/>
          <w:iCs w:val="false"/>
          <w:color w:val="000000"/>
          <w:sz w:val="22"/>
          <w:szCs w:val="22"/>
        </w:rPr>
        <w:t xml:space="preserve">No patents exist in this space, but first-mover advantage compounds: race-director relationships (annual reorder cycle), BPI certification (12–18 months to replicate), brand recognition among runners, CRS toolkit inclusion, and Fleet Feet shelf space. A 12–18 month head start before any competitor can certify and launch creates a meaningful moat.</w:t>
      </w:r>
    </w:p>
    <w:p>
      <w:r>
        <w:br w:type="page"/>
      </w:r>
    </w:p>
    <w:p>
      <w:pPr>
        <w:pStyle w:val="Heading1"/>
        <w:spacing w:before="360" w:after="200"/>
      </w:pPr>
      <w:r>
        <w:rPr>
          <w:rFonts w:ascii="Arial" w:cs="Arial" w:eastAsia="Arial" w:hAnsi="Arial"/>
        </w:rPr>
        <w:t xml:space="preserve">4. Risk Matrix and Mitigation Strategies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600"/>
        <w:gridCol w:w="31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3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Heatsheets competitive response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Heatsheets could launch compostable variant in 1–3 years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Move fast; lock race partnerships; build brand before they respond. Their 45-yr LDPE supply chain is hard to pivot.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Compostability greenwashing backlash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Product ends up in landfill (no composting infra at race)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Partner with races on composting logistics. Provide collection bins. Be transparent about end-of-life requirements.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Shelf life failures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degrades before use; metallization delaminates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Climate-controlled storage; moisture barrier packaging; FIFO; batch testing; shelf-life buffer in production scheduling.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Runner apathy toward sustainability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LOW-MEDIUM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Sustainability doesn’t drive purchase; product must win on function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Lead with warmth performance. Position compostability as bonus, not primary value prop. Validate with thermal test data.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Material cost increases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PLA/compostable film prices rise; margin compression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Lock long-term supply agreements at scale. Diversify suppliers (Futamura + Celplast + TIPA). Ingeo Extend may reduce costs.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Regulatory changes on “compostable” claims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LOW-MEDIUM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FTC/EU tighten rules on compostable labeling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Pursue most stringent certifications (BPI + TUV HOME). Avoid unqualified claims. Budget for compliance updates.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Certification delays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BPI takes 18+ months; misses Fall 2026 launch</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Begin immediately. Use supplier certs (NatureFlex NM already BPI certified) for soft launch. Own cert for full launch.</w:t>
            </w:r>
          </w:p>
        </w:tc>
      </w:tr>
    </w:tbl>
    <w:p>
      <w:pPr>
        <w:spacing w:before="200"/>
      </w:pPr>
    </w:p>
    <w:p>
      <w:pPr>
        <w:spacing w:after="160"/>
      </w:pPr>
      <w:r>
        <w:rPr>
          <w:rFonts w:ascii="Arial" w:cs="Arial" w:eastAsia="Arial" w:hAnsi="Arial"/>
          <w:b/>
          <w:bCs/>
          <w:i w:val="false"/>
          <w:iCs w:val="false"/>
          <w:color w:val="000000"/>
          <w:sz w:val="22"/>
          <w:szCs w:val="22"/>
        </w:rPr>
        <w:t xml:space="preserve">The highest-impact risk is Heatsheets competitive response. </w:t>
      </w:r>
      <w:r>
        <w:rPr>
          <w:rFonts w:ascii="Arial" w:cs="Arial" w:eastAsia="Arial" w:hAnsi="Arial"/>
          <w:b w:val="false"/>
          <w:bCs w:val="false"/>
          <w:i w:val="false"/>
          <w:iCs w:val="false"/>
          <w:color w:val="000000"/>
          <w:sz w:val="22"/>
          <w:szCs w:val="22"/>
        </w:rPr>
        <w:t xml:space="preserve">However, pivoting a 45-year LDPE supply chain to compostable materials requires 2–4 years of R&amp;D, certification, and manufacturing retooling. The first-mover window is real but finite — speed to market is the #1 strategic priority.</w:t>
      </w:r>
    </w:p>
    <w:p>
      <w:r>
        <w:br w:type="page"/>
      </w:r>
    </w:p>
    <w:p>
      <w:pPr>
        <w:pStyle w:val="Heading1"/>
        <w:spacing w:before="360" w:after="200"/>
      </w:pPr>
      <w:r>
        <w:rPr>
          <w:rFonts w:ascii="Arial" w:cs="Arial" w:eastAsia="Arial" w:hAnsi="Arial"/>
        </w:rPr>
        <w:t xml:space="preserve">5. Financial Summary: Three Investment Scenarios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0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Scale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Year 1 Projected P&amp;L</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Bootstrap ($20–25K)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5K units; 2–3 expos; 5–8 race add-ons; Shopify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Near breakeven (–$5K to +$5K)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Proves concept; gathers data; builds relationships. Limited by small inventory and manual operations.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Moderate ($35–50K) RECOMMENDED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25K units; Amazon + Shopify + 10–15 add-ons + 3–5 expos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$5K–$25K profit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Achieves profitability; builds brand presence; funds Year 2 growth. Optimal risk/reward balance.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Full Launch ($75–100K)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50K units; all channels active; 30+ race partners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$35K–$65K profit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Establishes market leader position; locks out potential competitors; funds international expansion.</w:t>
            </w:r>
          </w:p>
        </w:tc>
      </w:tr>
    </w:tbl>
    <w:p>
      <w:pPr>
        <w:spacing w:before="200"/>
      </w:pPr>
    </w:p>
    <w:p>
      <w:pPr>
        <w:spacing w:after="160"/>
      </w:pPr>
      <w:r>
        <w:rPr>
          <w:rFonts w:ascii="Arial" w:cs="Arial" w:eastAsia="Arial" w:hAnsi="Arial"/>
          <w:b/>
          <w:bCs/>
          <w:i w:val="false"/>
          <w:iCs w:val="false"/>
          <w:color w:val="000000"/>
          <w:sz w:val="22"/>
          <w:szCs w:val="22"/>
        </w:rPr>
        <w:t xml:space="preserve">RECOMMENDED: Moderate scenario ($35–50K). </w:t>
      </w:r>
      <w:r>
        <w:rPr>
          <w:rFonts w:ascii="Arial" w:cs="Arial" w:eastAsia="Arial" w:hAnsi="Arial"/>
          <w:b w:val="false"/>
          <w:bCs w:val="false"/>
          <w:i w:val="false"/>
          <w:iCs w:val="false"/>
          <w:color w:val="000000"/>
          <w:sz w:val="22"/>
          <w:szCs w:val="22"/>
        </w:rPr>
        <w:t xml:space="preserve">This achieves profitability in Year 1 while building the brand presence and race-director relationships needed for Year 2 scaling. The $25K unit production volume unlocks meaningful COGS reductions ($1.94 vs. $2.48 at 5K) and meets MOQ thresholds for premium film suppliers.</w:t>
      </w:r>
    </w:p>
    <w:p>
      <w:pPr>
        <w:pStyle w:val="Heading2"/>
        <w:spacing w:before="280" w:after="160"/>
      </w:pPr>
      <w:r>
        <w:rPr>
          <w:rFonts w:ascii="Arial" w:cs="Arial" w:eastAsia="Arial" w:hAnsi="Arial"/>
        </w:rPr>
        <w:t xml:space="preserve">5.1 Fixed Cost Budget</w:t>
      </w:r>
    </w:p>
    <w:p>
      <w:pPr>
        <w:spacing w:after="160"/>
      </w:pPr>
      <w:r>
        <w:rPr>
          <w:rFonts w:ascii="Arial" w:cs="Arial" w:eastAsia="Arial" w:hAnsi="Arial"/>
          <w:b w:val="false"/>
          <w:bCs w:val="false"/>
          <w:i w:val="false"/>
          <w:iCs w:val="false"/>
          <w:color w:val="000000"/>
          <w:sz w:val="22"/>
          <w:szCs w:val="22"/>
        </w:rPr>
        <w:t xml:space="preserve">BPI certification (initial testing): $15,000–$25,000. Brand identity + design: $3,000–$10,000. Website (Shopify + Amazon setup): $2,000–$5,000. Trademark registration: $950–$2,500. Product liability insurance: $400–$1,200. Business formation + legal: $500–$2,000. Photography + content: $1,000–$5,000. Racing for Sustainability membership: $1,000. Total fixed: $24,000–$52,000.</w:t>
      </w:r>
    </w:p>
    <w:p>
      <w:pPr>
        <w:pStyle w:val="Heading2"/>
        <w:spacing w:before="280" w:after="160"/>
      </w:pPr>
      <w:r>
        <w:rPr>
          <w:rFonts w:ascii="Arial" w:cs="Arial" w:eastAsia="Arial" w:hAnsi="Arial"/>
        </w:rPr>
        <w:t xml:space="preserve">5.2 Path to Year 2</w:t>
      </w:r>
    </w:p>
    <w:p>
      <w:pPr>
        <w:spacing w:after="160"/>
      </w:pPr>
      <w:r>
        <w:rPr>
          <w:rFonts w:ascii="Arial" w:cs="Arial" w:eastAsia="Arial" w:hAnsi="Arial"/>
          <w:b w:val="false"/>
          <w:bCs w:val="false"/>
          <w:i w:val="false"/>
          <w:iCs w:val="false"/>
          <w:color w:val="000000"/>
          <w:sz w:val="22"/>
          <w:szCs w:val="22"/>
        </w:rPr>
        <w:t xml:space="preserve">Year 1 revenue of $155–175K at Moderate scenario funds Year 2 expansion: 50–100K unit production run, comprehensive BPI + TUV dual certification, 3–5 major marathon expo booths, Fleet Feet national rollout, EN 13432 for international markets, and 30+ race partnerships. Year 2 target: $300–500K revenue, $50–100K profit.</w:t>
      </w:r>
    </w:p>
    <w:p>
      <w:r>
        <w:br w:type="page"/>
      </w:r>
    </w:p>
    <w:p>
      <w:pPr>
        <w:pStyle w:val="Heading1"/>
        <w:spacing w:before="360" w:after="200"/>
      </w:pPr>
      <w:r>
        <w:rPr>
          <w:rFonts w:ascii="Arial" w:cs="Arial" w:eastAsia="Arial" w:hAnsi="Arial"/>
        </w:rPr>
        <w:t xml:space="preserve">6. Twelve-Month Launch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Actions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MONTH 1 (Apr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NatureFlex NM samples; hand-fabricate 5–10 prototypes; attend RRCA Convention ($425); begin BPI certification process; join Racing for Sustainability ($1K/yr)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MONTH 2 (May 2026)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DIY warmth testing (FLIR camera + outdoor trials); send sample kits to 10–15 race directors; apply to Fleet Feet vendor partner program; set up Shopify store skeleton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MONTH 3 (Jun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Submit materials to testing lab (NC State TPACC or KSU IER); receive formal sample from Parkside/TIPA; collect 3–5 race director LOIs for Fall 2026 pilots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MONTH 4 (Jul 2026)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Lock production order (5–25K units); configure RunSignUp add-ons with partner races; finalize Amazon listing; begin branding + photography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MONTH 5 (Aug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Receive production inventory; ship to Amazon FBA; ship pilot quantities to race partners; launch pre-race Instagram/Strava marketing campaign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MONTH 6 (Sep 2026)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SOFT LAUNCH: 2–3 Fall race pilots (registration add-ons + packet pickup). First expo booth at a mid-size race. Begin Amazon PPC. Collect runner feedback.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MONTHS 7–9 (Oct–Dec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Full Fall season: 5–10 race partnerships live. NYC/Chicago/Philly marathon expo booths. Attend TRE (Dec 2026) for Year 2 B2B pipeline. Collect data from all pilots.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MONTHS 10–12 (Jan–Mar 2027)</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Attend Running USA Conference (Jan 2027). Compile pilot case studies. Sign 20–30 race contracts for Spring/Fall 2027. BPI certification expected. Plan 50–100K unit production run.</w:t>
            </w:r>
          </w:p>
        </w:tc>
      </w:tr>
    </w:tbl>
    <w:p>
      <w:r>
        <w:br w:type="page"/>
      </w:r>
    </w:p>
    <w:p>
      <w:pPr>
        <w:pStyle w:val="Heading1"/>
        <w:spacing w:before="360" w:after="200"/>
      </w:pPr>
      <w:r>
        <w:rPr>
          <w:rFonts w:ascii="Arial" w:cs="Arial" w:eastAsia="Arial" w:hAnsi="Arial"/>
        </w:rPr>
        <w:t xml:space="preserve">7. Three Conditions for GO</w:t>
      </w:r>
    </w:p>
    <w:p>
      <w:pPr>
        <w:spacing w:after="160"/>
      </w:pPr>
      <w:r>
        <w:rPr>
          <w:rFonts w:ascii="Arial" w:cs="Arial" w:eastAsia="Arial" w:hAnsi="Arial"/>
          <w:b/>
          <w:bCs/>
          <w:i w:val="false"/>
          <w:iCs w:val="false"/>
          <w:color w:val="000000"/>
          <w:sz w:val="22"/>
          <w:szCs w:val="22"/>
        </w:rPr>
        <w:t xml:space="preserve">Condition 1: Begin BPI certification process within 30 days. </w:t>
      </w:r>
      <w:r>
        <w:rPr>
          <w:rFonts w:ascii="Arial" w:cs="Arial" w:eastAsia="Arial" w:hAnsi="Arial"/>
          <w:b w:val="false"/>
          <w:bCs w:val="false"/>
          <w:i w:val="false"/>
          <w:iCs w:val="false"/>
          <w:color w:val="000000"/>
          <w:sz w:val="22"/>
          <w:szCs w:val="22"/>
        </w:rPr>
        <w:t xml:space="preserve">This is the longest lead item (12–18 months). Contact Normec OWS (maggie.mcdonald@normecgroup.com) or Aropha for testing quotes. Leverage NatureFlex NM’s existing BPI certification (#C119399) to reduce scope. Budget: $15–25K for initial testing.</w:t>
      </w:r>
    </w:p>
    <w:p>
      <w:pPr>
        <w:spacing w:after="160"/>
      </w:pPr>
      <w:r>
        <w:rPr>
          <w:rFonts w:ascii="Arial" w:cs="Arial" w:eastAsia="Arial" w:hAnsi="Arial"/>
          <w:b/>
          <w:bCs/>
          <w:i w:val="false"/>
          <w:iCs w:val="false"/>
          <w:color w:val="000000"/>
          <w:sz w:val="22"/>
          <w:szCs w:val="22"/>
        </w:rPr>
        <w:t xml:space="preserve">Condition 2: Secure 3+ race director LOIs by July 2026. </w:t>
      </w:r>
      <w:r>
        <w:rPr>
          <w:rFonts w:ascii="Arial" w:cs="Arial" w:eastAsia="Arial" w:hAnsi="Arial"/>
          <w:b w:val="false"/>
          <w:bCs w:val="false"/>
          <w:i w:val="false"/>
          <w:iCs w:val="false"/>
          <w:color w:val="000000"/>
          <w:sz w:val="22"/>
          <w:szCs w:val="22"/>
        </w:rPr>
        <w:t xml:space="preserve">Letters of Intent from race directors for Fall 2026 pilots validate B2B demand beyond theoretical research. Use the P0C prioritized database (53 cold-weather races in 3 tiers) and attend RRCA Convention (April 2026) for in-person networking.</w:t>
      </w:r>
    </w:p>
    <w:p>
      <w:pPr>
        <w:spacing w:after="160"/>
      </w:pPr>
      <w:r>
        <w:rPr>
          <w:rFonts w:ascii="Arial" w:cs="Arial" w:eastAsia="Arial" w:hAnsi="Arial"/>
          <w:b/>
          <w:bCs/>
          <w:i w:val="false"/>
          <w:iCs w:val="false"/>
          <w:color w:val="000000"/>
          <w:sz w:val="22"/>
          <w:szCs w:val="22"/>
        </w:rPr>
        <w:t xml:space="preserve">Condition 3: Complete warmth testing by June 2026. </w:t>
      </w:r>
      <w:r>
        <w:rPr>
          <w:rFonts w:ascii="Arial" w:cs="Arial" w:eastAsia="Arial" w:hAnsi="Arial"/>
          <w:b w:val="false"/>
          <w:bCs w:val="false"/>
          <w:i w:val="false"/>
          <w:iCs w:val="false"/>
          <w:color w:val="000000"/>
          <w:sz w:val="22"/>
          <w:szCs w:val="22"/>
        </w:rPr>
        <w:t xml:space="preserve">Either DIY (FLIR camera, $200–$300) or formal lab testing (NC State TPACC, $2–3K for hot plate). The claim “95% body heat reflected back” must be supported by data. This is the single most important selling point for both B2B and DTC.</w:t>
      </w:r>
    </w:p>
    <w:p>
      <w:r>
        <w:br w:type="page"/>
      </w:r>
    </w:p>
    <w:p>
      <w:pPr>
        <w:pStyle w:val="Heading1"/>
        <w:spacing w:before="360" w:after="200"/>
      </w:pPr>
      <w:r>
        <w:rPr>
          <w:rFonts w:ascii="Arial" w:cs="Arial" w:eastAsia="Arial" w:hAnsi="Arial"/>
        </w:rPr>
        <w:t xml:space="preserve">8. What Success Looks Like: Key Performance Indicators</w:t>
      </w:r>
    </w:p>
    <w:p>
      <w:pPr>
        <w:pStyle w:val="Heading2"/>
        <w:spacing w:before="280" w:after="160"/>
      </w:pPr>
      <w:r>
        <w:rPr>
          <w:rFonts w:ascii="Arial" w:cs="Arial" w:eastAsia="Arial" w:hAnsi="Arial"/>
        </w:rPr>
        <w:t xml:space="preserve">8.1 Year 1 KPIs (Fall 2026 – Spring 2027)</w:t>
      </w:r>
    </w:p>
    <w:p>
      <w:pPr>
        <w:spacing w:after="160"/>
      </w:pPr>
      <w:r>
        <w:rPr>
          <w:rFonts w:ascii="Arial" w:cs="Arial" w:eastAsia="Arial" w:hAnsi="Arial"/>
          <w:b w:val="false"/>
          <w:bCs w:val="false"/>
          <w:i w:val="false"/>
          <w:iCs w:val="false"/>
          <w:color w:val="000000"/>
          <w:sz w:val="22"/>
          <w:szCs w:val="22"/>
        </w:rPr>
        <w:t xml:space="preserve">Units sold: 18,000–25,000. Revenue: $155,000–$175,000. Gross margin: 55–65%. Race partnerships: 10–15 active. Amazon reviews: 50+ at 4.5★+. Email list: 5,000+ runners. NPS from pilot races: 50+. Race director reorder rate: 80%+. Fleet Feet stores carrying product: 10–30 (pilot).</w:t>
      </w:r>
    </w:p>
    <w:p>
      <w:pPr>
        <w:pStyle w:val="Heading2"/>
        <w:spacing w:before="280" w:after="160"/>
      </w:pPr>
      <w:r>
        <w:rPr>
          <w:rFonts w:ascii="Arial" w:cs="Arial" w:eastAsia="Arial" w:hAnsi="Arial"/>
        </w:rPr>
        <w:t xml:space="preserve">8.2 Year 2 KPIs (2027–2028)</w:t>
      </w:r>
    </w:p>
    <w:p>
      <w:pPr>
        <w:spacing w:after="160"/>
      </w:pPr>
      <w:r>
        <w:rPr>
          <w:rFonts w:ascii="Arial" w:cs="Arial" w:eastAsia="Arial" w:hAnsi="Arial"/>
          <w:b w:val="false"/>
          <w:bCs w:val="false"/>
          <w:i w:val="false"/>
          <w:iCs w:val="false"/>
          <w:color w:val="000000"/>
          <w:sz w:val="22"/>
          <w:szCs w:val="22"/>
        </w:rPr>
        <w:t xml:space="preserve">Units sold: 50,000–80,000. Revenue: $300,000–$500,000. Race partnerships: 30–50 active. International markets entered: 1–2 (Toronto + London). BPI + TUV certifications achieved. Sponsor co-branding deals: 2–3 active. Fleet Feet national rollout. Repeat customer rate: 30%+.</w:t>
      </w:r>
    </w:p>
    <w:p>
      <w:r>
        <w:br w:type="page"/>
      </w:r>
    </w:p>
    <w:p>
      <w:pPr>
        <w:pStyle w:val="Heading1"/>
        <w:spacing w:before="360" w:after="200"/>
      </w:pPr>
      <w:r>
        <w:rPr>
          <w:rFonts w:ascii="Arial" w:cs="Arial" w:eastAsia="Arial" w:hAnsi="Arial"/>
        </w:rPr>
        <w:t xml:space="preserve">9. What Would Change This to NO-GO</w:t>
      </w:r>
    </w:p>
    <w:p>
      <w:pPr>
        <w:spacing w:after="160"/>
      </w:pPr>
      <w:r>
        <w:rPr>
          <w:rFonts w:ascii="Arial" w:cs="Arial" w:eastAsia="Arial" w:hAnsi="Arial"/>
          <w:b w:val="false"/>
          <w:bCs w:val="false"/>
          <w:i w:val="false"/>
          <w:iCs w:val="false"/>
          <w:color w:val="000000"/>
          <w:sz w:val="22"/>
          <w:szCs w:val="22"/>
        </w:rPr>
        <w:t xml:space="preserve">The GO recommendation would reverse if any of the following emerged during the next 90 days:</w:t>
      </w:r>
    </w:p>
    <w:p>
      <w:pPr>
        <w:spacing w:after="160"/>
      </w:pPr>
      <w:r>
        <w:rPr>
          <w:rFonts w:ascii="Arial" w:cs="Arial" w:eastAsia="Arial" w:hAnsi="Arial"/>
          <w:b w:val="false"/>
          <w:bCs w:val="false"/>
          <w:i w:val="false"/>
          <w:iCs w:val="false"/>
          <w:color w:val="000000"/>
          <w:sz w:val="22"/>
          <w:szCs w:val="22"/>
        </w:rPr>
        <w:t xml:space="preserve">1. Thermal testing shows the compostable poncho provides &lt;50% of Heatsheets’ warmth performance (unlikely given identical aluminum physics, but must be verified).</w:t>
      </w:r>
    </w:p>
    <w:p>
      <w:pPr>
        <w:spacing w:after="160"/>
      </w:pPr>
      <w:r>
        <w:rPr>
          <w:rFonts w:ascii="Arial" w:cs="Arial" w:eastAsia="Arial" w:hAnsi="Arial"/>
          <w:b w:val="false"/>
          <w:bCs w:val="false"/>
          <w:i w:val="false"/>
          <w:iCs w:val="false"/>
          <w:color w:val="000000"/>
          <w:sz w:val="22"/>
          <w:szCs w:val="22"/>
        </w:rPr>
        <w:t xml:space="preserve">2. BPI testing reveals metallization or specific film chemistry fails compostability criteria (low probability — multiple metallized films already certified, but must confirm for final product configuration).</w:t>
      </w:r>
    </w:p>
    <w:p>
      <w:pPr>
        <w:spacing w:after="160"/>
      </w:pPr>
      <w:r>
        <w:rPr>
          <w:rFonts w:ascii="Arial" w:cs="Arial" w:eastAsia="Arial" w:hAnsi="Arial"/>
          <w:b w:val="false"/>
          <w:bCs w:val="false"/>
          <w:i w:val="false"/>
          <w:iCs w:val="false"/>
          <w:color w:val="000000"/>
          <w:sz w:val="22"/>
          <w:szCs w:val="22"/>
        </w:rPr>
        <w:t xml:space="preserve">3. Fewer than 3 race directors express genuine interest (not just politeness) after receiving sample kits, indicating B2B demand is weaker than research suggests.</w:t>
      </w:r>
    </w:p>
    <w:p>
      <w:pPr>
        <w:spacing w:after="160"/>
      </w:pPr>
      <w:r>
        <w:rPr>
          <w:rFonts w:ascii="Arial" w:cs="Arial" w:eastAsia="Arial" w:hAnsi="Arial"/>
          <w:b w:val="false"/>
          <w:bCs w:val="false"/>
          <w:i w:val="false"/>
          <w:iCs w:val="false"/>
          <w:color w:val="000000"/>
          <w:sz w:val="22"/>
          <w:szCs w:val="22"/>
        </w:rPr>
        <w:t xml:space="preserve">4. Customer discovery interviews (20–30 runners) reveal a fundamental unwillingness to pay &gt;$5 for a disposable warmth product, suggesting the $9.99 price point is untenable.</w:t>
      </w:r>
    </w:p>
    <w:p>
      <w:pPr>
        <w:spacing w:after="160"/>
      </w:pPr>
      <w:r>
        <w:rPr>
          <w:rFonts w:ascii="Arial" w:cs="Arial" w:eastAsia="Arial" w:hAnsi="Arial"/>
          <w:b w:val="false"/>
          <w:bCs w:val="false"/>
          <w:i w:val="false"/>
          <w:iCs w:val="false"/>
          <w:color w:val="000000"/>
          <w:sz w:val="22"/>
          <w:szCs w:val="22"/>
        </w:rPr>
        <w:t xml:space="preserve">5. A major competitor (Heatsheets, TIPA, or a new entrant) announces a compostable warmth poncho before our soft launch, eliminating first-mover advantage.</w:t>
      </w:r>
    </w:p>
    <w:p>
      <w:pPr>
        <w:spacing w:after="160"/>
      </w:pPr>
      <w:r>
        <w:rPr>
          <w:rFonts w:ascii="Arial" w:cs="Arial" w:eastAsia="Arial" w:hAnsi="Arial"/>
          <w:b/>
          <w:bCs/>
          <w:i w:val="false"/>
          <w:iCs w:val="false"/>
          <w:color w:val="000000"/>
          <w:sz w:val="22"/>
          <w:szCs w:val="22"/>
        </w:rPr>
        <w:t xml:space="preserve">None of these is probable based on current evidence, but each should be actively monitored </w:t>
      </w:r>
      <w:r>
        <w:rPr>
          <w:rFonts w:ascii="Arial" w:cs="Arial" w:eastAsia="Arial" w:hAnsi="Arial"/>
          <w:b w:val="false"/>
          <w:bCs w:val="false"/>
          <w:i w:val="false"/>
          <w:iCs w:val="false"/>
          <w:color w:val="000000"/>
          <w:sz w:val="22"/>
          <w:szCs w:val="22"/>
        </w:rPr>
        <w:t xml:space="preserve">during Months 1–3 of the launch roadmap.</w:t>
      </w:r>
    </w:p>
    <w:p>
      <w:r>
        <w:br w:type="page"/>
      </w:r>
    </w:p>
    <w:p>
      <w:pPr>
        <w:pStyle w:val="Heading1"/>
        <w:spacing w:before="360" w:after="200"/>
      </w:pPr>
      <w:r>
        <w:rPr>
          <w:rFonts w:ascii="Arial" w:cs="Arial" w:eastAsia="Arial" w:hAnsi="Arial"/>
        </w:rPr>
        <w:t xml:space="preserve">10. Conclusion: The Window Is Open</w:t>
      </w:r>
    </w:p>
    <w:p>
      <w:pPr>
        <w:spacing w:after="160"/>
      </w:pPr>
      <w:r>
        <w:rPr>
          <w:rFonts w:ascii="Arial" w:cs="Arial" w:eastAsia="Arial" w:hAnsi="Arial"/>
          <w:b/>
          <w:bCs/>
          <w:i w:val="false"/>
          <w:iCs w:val="false"/>
          <w:color w:val="000000"/>
          <w:sz w:val="22"/>
          <w:szCs w:val="22"/>
        </w:rPr>
        <w:t xml:space="preserve">This is a rare convergence: </w:t>
      </w:r>
      <w:r>
        <w:rPr>
          <w:rFonts w:ascii="Arial" w:cs="Arial" w:eastAsia="Arial" w:hAnsi="Arial"/>
          <w:b w:val="false"/>
          <w:bCs w:val="false"/>
          <w:i w:val="false"/>
          <w:iCs w:val="false"/>
          <w:color w:val="000000"/>
          <w:sz w:val="22"/>
          <w:szCs w:val="22"/>
        </w:rPr>
        <w:t xml:space="preserve">a universal problem (every cold-weather runner needs warmth), a clear whitespace (zero compostable warmth ponchos exist), a proven technology (metallized compostable films are commercially available and certified), an affluent and reachable customer base (73% earn $75K+, concentrated on Strava/Instagram/Fleet Feet), favorable economics ($9.99 retail at 55–75% gross margin), and accelerating structural tailwinds (sustainability mandates, record participation, maturing materials).</w:t>
      </w:r>
    </w:p>
    <w:p>
      <w:pPr>
        <w:spacing w:after="160"/>
      </w:pPr>
      <w:r>
        <w:rPr>
          <w:rFonts w:ascii="Arial" w:cs="Arial" w:eastAsia="Arial" w:hAnsi="Arial"/>
          <w:b/>
          <w:bCs/>
          <w:i w:val="false"/>
          <w:iCs w:val="false"/>
          <w:color w:val="000000"/>
          <w:sz w:val="22"/>
          <w:szCs w:val="22"/>
        </w:rPr>
        <w:t xml:space="preserve">The window is finite. </w:t>
      </w:r>
      <w:r>
        <w:rPr>
          <w:rFonts w:ascii="Arial" w:cs="Arial" w:eastAsia="Arial" w:hAnsi="Arial"/>
          <w:b w:val="false"/>
          <w:bCs w:val="false"/>
          <w:i w:val="false"/>
          <w:iCs w:val="false"/>
          <w:color w:val="000000"/>
          <w:sz w:val="22"/>
          <w:szCs w:val="22"/>
        </w:rPr>
        <w:t xml:space="preserve">Heatsheets has the resources and relationships to enter this space within 2–4 years if they recognize the opportunity. TIPA’s 312MET launch (Feb 2025) signals that metallized compostable films are entering mainstream commercial availability. The first brand to certify, build race-director relationships, and establish runner awareness will create a defensible position that compounds annually through reorder cycles, CRS toolkit inclusion, and community word-of-mouth.</w:t>
      </w:r>
    </w:p>
    <w:p>
      <w:pPr>
        <w:spacing w:after="160"/>
      </w:pPr>
      <w:r>
        <w:rPr>
          <w:rFonts w:ascii="Arial" w:cs="Arial" w:eastAsia="Arial" w:hAnsi="Arial"/>
          <w:b/>
          <w:bCs/>
          <w:i w:val="false"/>
          <w:iCs w:val="false"/>
          <w:color w:val="000000"/>
          <w:sz w:val="22"/>
          <w:szCs w:val="22"/>
        </w:rPr>
        <w:t xml:space="preserve">The cost of being wrong is $20–50K and 6–12 months. The cost of being right and moving too slowly is ceding a category-defining opportunity to a faster competitor. </w:t>
      </w:r>
      <w:r>
        <w:rPr>
          <w:rFonts w:ascii="Arial" w:cs="Arial" w:eastAsia="Arial" w:hAnsi="Arial"/>
          <w:b w:val="false"/>
          <w:bCs w:val="false"/>
          <w:i w:val="false"/>
          <w:iCs w:val="false"/>
          <w:color w:val="000000"/>
          <w:sz w:val="22"/>
          <w:szCs w:val="22"/>
        </w:rPr>
        <w:t xml:space="preserve">The recommendation is unequivocal: GO. Begin immediately.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2026-03-17T14:06:45.282Z</dcterms:created>
  <dcterms:modified xsi:type="dcterms:W3CDTF">2026-03-17T14:06:45.283Z</dcterms:modified>
</cp:coreProperties>
</file>

<file path=docProps/custom.xml><?xml version="1.0" encoding="utf-8"?>
<Properties xmlns="http://schemas.openxmlformats.org/officeDocument/2006/custom-properties" xmlns:vt="http://schemas.openxmlformats.org/officeDocument/2006/docPropsVTypes"/>
</file>