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160"/>
      </w:pPr>
      <w:r>
        <w:rPr>
          <w:rFonts w:ascii="Arial" w:cs="Arial" w:eastAsia="Arial" w:hAnsi="Arial"/>
        </w:rPr>
        <w:t xml:space="preserve">P0: Market Research — Cover Note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Important Context for P0 Documents (P0A–P0H)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These 8 documents represent the research phase of the GTM playbook, completed before final product specification, pricing, and supplier decisions were made in P2–P8.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What Is Current in P0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Market size and TAM/SAM/SOM framework (P0A). Competitive landscape and positioning (P0B). Race director and runner qualitative insights (P0C, P0D). Material science research direction (P0E). DTC pricing at $9.99 single / $24.99 3-pack (P0F). B2B channel structure and sales cycle model (P0G). Go/No-Go decision framework (P0H).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What Has Been Superseded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B2B pricing: P0F references $1.75–$2.50/unit → revised to $3.50–$5.00/unit in P5A/P8A.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COGS ranges: P0F references $1.34–$2.48/unit → narrowed to $1.10–$1.45/unit in P8A (Config B).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Material configuration: P0E explores PLA shell + cellulose batting → finalized as NatureFlex NM 23µm + PLA spunbond 35gsm (Config B) in P2A.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Manufacturing location: P0 references China/Pakistan → finalized as Parkside UK (primary) / ProAmpac US (backup) in P3A.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Definitive Document References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Document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specification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P2B Industrial Design &amp; Engineering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Material selection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P2A Material Configuration Selection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 economics &amp; COGS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P8A Financial Planning &amp; Modeling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B2B pricing tiers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P5A B2B Pipeline Development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DTC pricing &amp; margins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P6B Shopify + P6C Amazon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Supplier selection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P3A Factory Selection &amp; Negotiation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This cover note was added during the April 2026 gap analysis remediation.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2026-04-02T19:49:39.047Z</dcterms:created>
  <dcterms:modified xsi:type="dcterms:W3CDTF">2026-04-02T19:49:39.048Z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