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P10A: VOLUME</w:t>
      </w:r>
    </w:p>
    <w:p>
      <w:pPr>
        <w:spacing w:after="200"/>
        <w:jc w:val="center"/>
      </w:pPr>
      <w:r>
        <w:rPr>
          <w:rFonts w:ascii="Arial" w:cs="Arial" w:eastAsia="Arial" w:hAnsi="Arial"/>
          <w:b/>
          <w:bCs/>
          <w:color w:val="1B3A6B"/>
          <w:sz w:val="44"/>
          <w:szCs w:val="44"/>
        </w:rPr>
        <w:t xml:space="preserve">SCALING</w:t>
      </w:r>
    </w:p>
    <w:p>
      <w:pPr>
        <w:pBdr>
          <w:bottom w:val="single" w:color="2E5090" w:sz="6" w:space="12"/>
        </w:pBdr>
        <w:spacing w:after="100"/>
        <w:jc w:val="center"/>
      </w:pPr>
      <w:r>
        <w:rPr>
          <w:rFonts w:ascii="Arial" w:cs="Arial" w:eastAsia="Arial" w:hAnsi="Arial"/>
          <w:color w:val="666666"/>
          <w:sz w:val="24"/>
          <w:szCs w:val="24"/>
        </w:rPr>
        <w:t xml:space="preserve">Sub-Project P10A  |  Scaling, Expansion &amp; Category Leadership  |  Months 8–12</w:t>
      </w:r>
    </w:p>
    <w:p>
      <w:pPr>
        <w:spacing w:before="400"/>
        <w:jc w:val="center"/>
      </w:pPr>
      <w:r>
        <w:rPr>
          <w:rFonts w:ascii="Arial" w:cs="Arial" w:eastAsia="Arial" w:hAnsi="Arial"/>
          <w:i/>
          <w:iCs/>
          <w:color w:val="888888"/>
          <w:sz w:val="22"/>
          <w:szCs w:val="22"/>
        </w:rPr>
        <w:t xml:space="preserve">Complete Volume Scaling Strategy: Volume Pricing Negotiation, Second Supplier Qualification, Domestic US Manufacturing for Rush &amp; Premium, 5-Input Demand Forecasting, Year 2 Production Schedule, and 3PL Fulfillment Upgrade Evaluation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Volume scaling is the transition from “startup that makes ponchos” to “operating company that fulfills demand.” </w:t>
      </w:r>
      <w:r>
        <w:rPr>
          <w:rFonts w:ascii="Arial" w:cs="Arial" w:eastAsia="Arial" w:hAnsi="Arial"/>
          <w:b w:val="false"/>
          <w:bCs w:val="false"/>
          <w:i w:val="false"/>
          <w:iCs w:val="false"/>
          <w:color w:val="000000"/>
          <w:sz w:val="22"/>
          <w:szCs w:val="22"/>
        </w:rPr>
        <w:t xml:space="preserve">Year 1 proves the product works and customers want it. Year 2 must: reduce per-unit costs (volume pricing), eliminate supply risk (second supplier), serve urgent orders (domestic manufacturing), predict demand accurately (forecasting), plan production efficiently (3-run schedule), and fulfill orders without consuming the founder’s time (3PL upgrade). Each system in this document removes a CONSTRAINT on growth: cost, risk, speed, accuracy, efficiency, or time.</w:t>
      </w:r>
    </w:p>
    <w:p>
      <w:pPr>
        <w:spacing w:after="160"/>
      </w:pPr>
      <w:r>
        <w:rPr>
          <w:rFonts w:ascii="Arial" w:cs="Arial" w:eastAsia="Arial" w:hAnsi="Arial"/>
          <w:b/>
          <w:bCs/>
          <w:i w:val="false"/>
          <w:iCs w:val="false"/>
          <w:color w:val="000000"/>
          <w:sz w:val="22"/>
          <w:szCs w:val="22"/>
        </w:rPr>
        <w:t xml:space="preserve">Six scaling systems are defined: </w:t>
      </w:r>
      <w:r>
        <w:rPr>
          <w:rFonts w:ascii="Arial" w:cs="Arial" w:eastAsia="Arial" w:hAnsi="Arial"/>
          <w:b w:val="false"/>
          <w:bCs w:val="false"/>
          <w:i w:val="false"/>
          <w:iCs w:val="false"/>
          <w:color w:val="000000"/>
          <w:sz w:val="22"/>
          <w:szCs w:val="22"/>
        </w:rPr>
        <w:t xml:space="preserve">(1) volume pricing negotiation targeting $0.85–$0.95/unit ex-works at 50K units (vs. $1.15 at 5K in Year 1), (2) second supplier qualification creating dual-source production resilience and competitive pricing tension, (3) domestic US manufacturing via ProAmpac for rush orders and “Made in USA” premium positioning, (4) a demand forecasting model using 7 inputs to generate monthly Year 2 predictions with base/downside/upside scenarios, (5) a 3-run Year 2 production schedule (spring prep / fall prep / replenishment) with domestic rush capability, and (6) a 3PL fulfillment upgrade evaluation with trigger criteria, cost-benefit analysis, and transition plan.</w:t>
      </w:r>
    </w:p>
    <w:p>
      <w:r>
        <w:br w:type="page"/>
      </w:r>
    </w:p>
    <w:p>
      <w:pPr>
        <w:pStyle w:val="Heading1"/>
        <w:spacing w:before="360" w:after="200"/>
      </w:pPr>
      <w:r>
        <w:rPr>
          <w:rFonts w:ascii="Arial" w:cs="Arial" w:eastAsia="Arial" w:hAnsi="Arial"/>
        </w:rPr>
        <w:t xml:space="preserve">1. Volume Pricing Negotiation</w:t>
      </w:r>
    </w:p>
    <w:p>
      <w:pPr>
        <w:spacing w:after="160"/>
      </w:pPr>
      <w:r>
        <w:rPr>
          <w:rFonts w:ascii="Arial" w:cs="Arial" w:eastAsia="Arial" w:hAnsi="Arial"/>
          <w:b/>
          <w:bCs/>
          <w:i w:val="false"/>
          <w:iCs w:val="false"/>
          <w:color w:val="000000"/>
          <w:sz w:val="22"/>
          <w:szCs w:val="22"/>
        </w:rPr>
        <w:t xml:space="preserve">Lower per-unit COGS is the single biggest lever for improving margins AND enabling competitive B2B pricing. </w:t>
      </w:r>
      <w:r>
        <w:rPr>
          <w:rFonts w:ascii="Arial" w:cs="Arial" w:eastAsia="Arial" w:hAnsi="Arial"/>
          <w:b w:val="false"/>
          <w:bCs w:val="false"/>
          <w:i w:val="false"/>
          <w:iCs w:val="false"/>
          <w:color w:val="000000"/>
          <w:sz w:val="22"/>
          <w:szCs w:val="22"/>
        </w:rPr>
        <w:t xml:space="preserve">At $1.15/unit COGS and $3.50 B2B price: gross margin is $2.35 (67%). At $0.90/unit COGS and $3.50 B2B price: gross margin is $2.60 (74%). The $0.25/unit reduction at 100,000 Year 2 units = $25,000 in additional gross profit. This is PURE profit improvement with zero additional sales effort.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Current pricing (Year 1)</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5,000 units: $1.15/unit COGS (Config B per P2A). 10,000 units: $1.05–$1.10/unit. 25,000 units: $0.95–$1.05/unit. These are MATERIAL + CONVERSION costs ex-works (before freight, duty, packaging). Landed cost adds: $0.15–$0.40/unit for freight + duty (per P4A). Total landed COGS at 25K: $1.10–$1.45/unit.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Year 2 negotiation targets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50,000 units: target $0.85–$0.95/unit ex-works. 100,000 units: target $0.75–$0.85/unit ex-works. 250,000+ units: target $0.65–$0.75/unit ex-works. LANDED TARGETS: 50K: $1.00–$1.35/unit. 100K: $0.90–$1.25/unit. 250K+: $0.80–$1.15/unit. These targets reflect: material cost reduction at higher volumes (NatureFlex NM bulk pricing from Futamura), conversion efficiency (longer production runs = less changeover time per unit), and negotiating leverage (the brand is now a PROVEN customer with volume history, not a speculative startup).</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Negotiation strategy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APPROACH 1 (competitive pressure): obtain quotes from 2–3 suppliers (Parkside, ProAmpac, and a new supplier qualified per Section 2) and present the lowest quote to the preferred supplier: “We have a quote at $0.82/unit from [Supplier B]. Can you match or beat this for a 100K annual commitment?” APPROACH 2 (volume commitment): offer a 12-month volume commitment in exchange for reduced pricing: “We’ll commit to 100,000 units over 12 months at $0.85/unit, payable per production run.” The commitment gives the supplier: production planning certainty and guaranteed revenue. APPROACH 3 (payment terms trade): offer faster payment (50% deposit + 50% at shipment instead of net-30 balance) in exchange for a 3–5% price reduction. Faster payment reduces the supplier’s cash flow risk.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Annual pricing agreement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Formalize Year 2 pricing in a WRITTEN annual pricing agreement (addendum to the supplier agreement per P9D Section 3). Include: unit pricing at each volume tier, price validity period (12 months), volume commitment (minimum annual quantity), pricing review trigger (raw material cost changes &gt;10% trigger a mid-year review), and payment terms. The annual agreement protects against: mid-year price increases and provides: budgeting certainty for the Year 2 financial plan (P8D Section 3).</w:t>
            </w:r>
          </w:p>
        </w:tc>
      </w:tr>
    </w:tbl>
    <w:p>
      <w:pPr>
        <w:spacing w:before="200"/>
      </w:pPr>
    </w:p>
    <w:p>
      <w:pPr>
        <w:pStyle w:val="Heading2"/>
        <w:spacing w:before="280" w:after="160"/>
      </w:pPr>
      <w:r>
        <w:rPr>
          <w:rFonts w:ascii="Arial" w:cs="Arial" w:eastAsia="Arial" w:hAnsi="Arial"/>
        </w:rPr>
        <w:t xml:space="preserve">1.1 Pricing Negotiation Timeline</w:t>
      </w:r>
    </w:p>
    <w:p>
      <w:pPr>
        <w:spacing w:after="160"/>
      </w:pPr>
      <w:r>
        <w:rPr>
          <w:rFonts w:ascii="Arial" w:cs="Arial" w:eastAsia="Arial" w:hAnsi="Arial"/>
          <w:b w:val="false"/>
          <w:bCs w:val="false"/>
          <w:i w:val="false"/>
          <w:iCs w:val="false"/>
          <w:color w:val="000000"/>
          <w:sz w:val="22"/>
          <w:szCs w:val="22"/>
        </w:rPr>
        <w:t xml:space="preserve">MONTH 8: compile Year 1 production data (total units ordered, payment history, quality record). Request Year 2 pricing from primary supplier (Parkside) at: 50K, 100K, and 250K volume tiers. Simultaneously: request quotes from 2 alternative suppliers for the same volumes. MONTH 9: receive all quotes. Compare: pricing, lead time, quality guarantees, and payment terms. Present: the competitive landscape to the primary supplier (“We have a quote at $X from [Supplier B] — can you match?”). MONTH 10: finalize Year 2 annual pricing agreement. Lock: pricing for 12 months with mid-year review trigger at ±10% raw material cost change. The annual agreement becomes: an addendum to the supplier agreement (P9D Section 3).</w:t>
      </w:r>
    </w:p>
    <w:p>
      <w:r>
        <w:br w:type="page"/>
      </w:r>
    </w:p>
    <w:p>
      <w:pPr>
        <w:pStyle w:val="Heading1"/>
        <w:spacing w:before="360" w:after="200"/>
      </w:pPr>
      <w:r>
        <w:rPr>
          <w:rFonts w:ascii="Arial" w:cs="Arial" w:eastAsia="Arial" w:hAnsi="Arial"/>
        </w:rPr>
        <w:t xml:space="preserve">2. Second Supplier Qualification</w:t>
      </w:r>
    </w:p>
    <w:p>
      <w:pPr>
        <w:spacing w:after="160"/>
      </w:pPr>
      <w:r>
        <w:rPr>
          <w:rFonts w:ascii="Arial" w:cs="Arial" w:eastAsia="Arial" w:hAnsi="Arial"/>
          <w:b/>
          <w:bCs/>
          <w:i w:val="false"/>
          <w:iCs w:val="false"/>
          <w:color w:val="000000"/>
          <w:sz w:val="22"/>
          <w:szCs w:val="22"/>
        </w:rPr>
        <w:t xml:space="preserve">A business with one supplier is a business with one point of failure. </w:t>
      </w:r>
      <w:r>
        <w:rPr>
          <w:rFonts w:ascii="Arial" w:cs="Arial" w:eastAsia="Arial" w:hAnsi="Arial"/>
          <w:b w:val="false"/>
          <w:bCs w:val="false"/>
          <w:i w:val="false"/>
          <w:iCs w:val="false"/>
          <w:color w:val="000000"/>
          <w:sz w:val="22"/>
          <w:szCs w:val="22"/>
        </w:rPr>
        <w:t xml:space="preserve">Year 1’s single-supplier model is acceptable (low volume, limited resources). Year 2’s growing volume REQUIRES: production resilience (a factory fire doesn’t halt the business), competitive tension (the primary knows the brand has alternatives), and capacity flexibility (the second supplier absorbs overflow during peak demand).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Why a second supplier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RISK: a single-supplier dependency means: any disruption at the primary factory (fire, equipment failure, labor dispute, regulatory shutdown, pandemic-related closure) halts ALL production with zero backup. PRICING: a second qualified supplier creates: competitive tension (the primary knows they can be replaced) and benchmark pricing (the brand always knows what the market price is). CAPACITY: if Year 2 demand exceeds the primary supplier’s capacity (particularly during peak fall production months): the second supplier provides overflow capacity.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Qualification criteria</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second supplier must meet the SAME quality and certification standards as the primary: BPI/ASTM D6400 compliant output, NatureFlex NM + PLA spunbond processing capability, laser perforation equipment (or willingness to invest), print quality for co-brand logos at ≥300 DPI, and lead time of 3–6 weeks for standard orders. ADDITIONAL: geographic diversification (if primary is UK-based Parkside: consider US-based ProAmpac or Asia-based alternative for cost/logistics advantages).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Candidate suppliers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ProAmpac (US, per P3A Section 1): flexible packaging manufacturer with compostable capabilities. Advantages: domestic manufacturing (no ocean freight, no import duty, “Made in USA” positioning), faster lead times (1–3 weeks vs. 4–6 weeks from UK), and simpler logistics. Disadvantages: potentially higher per-unit cost ($0.10–$0.30/unit premium over UK/Asia). ShinHigh Packaging (China): if Section 301 tariffs are resolved or exempted: China manufacturing offers the lowest per-unit COGS. Novamont / TIPA (EU): for potential European market production if international expansion proceeds per P10C. EVALUATE: request samples + quotes from 2–3 candidates during Month 8–10. Conduct: the same factory evaluation process as P3A (quality audit, sample review, pricing negotiation). SELECT: the second supplier by Month 10 and produce a TEST RUN of 1,000–2,000 units to verify quality parity with the primary supplier.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Dual-supplier allocation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RECOMMENDED MODEL: 70% primary (Parkside) / 30% secondary (ProAmpac) for Year 2. The primary retains the MAJORITY of volume (maintaining the relationship and volume discount). The secondary receives enough volume to: stay engaged as a supplier, maintain quality consistency (they produce regularly, not once a year), and be ready to SCALE if needed (they can ramp to 50–70% of volume within 4–6 weeks if the primary is disrupted). ALTERNATIVE MODEL: primary handles ALL standard orders; secondary handles: rush orders (domestic US for faster turnaround), “Made in USA” premium SKU (if testing shows consumer willingness to pay a premium), and overflow during peak demand months.</w:t>
            </w:r>
          </w:p>
        </w:tc>
      </w:tr>
    </w:tbl>
    <w:p>
      <w:r>
        <w:br w:type="page"/>
      </w:r>
    </w:p>
    <w:p>
      <w:pPr>
        <w:pStyle w:val="Heading1"/>
        <w:spacing w:before="360" w:after="200"/>
      </w:pPr>
      <w:r>
        <w:rPr>
          <w:rFonts w:ascii="Arial" w:cs="Arial" w:eastAsia="Arial" w:hAnsi="Arial"/>
        </w:rPr>
        <w:t xml:space="preserve">3. Domestic US Manufacturing</w:t>
      </w:r>
    </w:p>
    <w:p>
      <w:pPr>
        <w:spacing w:after="160"/>
      </w:pPr>
      <w:r>
        <w:rPr>
          <w:rFonts w:ascii="Arial" w:cs="Arial" w:eastAsia="Arial" w:hAnsi="Arial"/>
          <w:b/>
          <w:bCs/>
          <w:i w:val="false"/>
          <w:iCs w:val="false"/>
          <w:color w:val="000000"/>
          <w:sz w:val="22"/>
          <w:szCs w:val="22"/>
        </w:rPr>
        <w:t xml:space="preserve">Domestic manufacturing adds: speed, flexibility, and a “Made in USA” marketing opportunity </w:t>
      </w:r>
      <w:r>
        <w:rPr>
          <w:rFonts w:ascii="Arial" w:cs="Arial" w:eastAsia="Arial" w:hAnsi="Arial"/>
          <w:b w:val="false"/>
          <w:bCs w:val="false"/>
          <w:i w:val="false"/>
          <w:iCs w:val="false"/>
          <w:color w:val="000000"/>
          <w:sz w:val="22"/>
          <w:szCs w:val="22"/>
        </w:rPr>
        <w:t xml:space="preserve">that imported production cannot provide. It is NOT a replacement for the primary supplier (higher per-unit cost makes it unsuitable for standard high-volume production). It IS: a rush-order capability that wins time-sensitive B2B deals, a premium SKU option for patriotic/eco-conscious consumers, and a backup production source for emergencies.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Value proposition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“Made in USA” positioning appeals to: patriotic consumers (significant segment of marathon runners, especially Marine Corps Marathon and military-affiliated races), sustainability-conscious consumers (shorter supply chain = lower transport emissions), and race directors who prefer domestic sourcing (government-funded events may have domestic sourcing requirements). ProAmpac (Terryville, CT) is the leading US candidate: flexible packaging, compostable material capabilities, and domestic logistics.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 comparison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 manufacturing estimated COGS: $1.40–$1.80/unit (vs. UK $0.95–$1.10 at 50K units). The $0.40–$0.70/unit premium is offset by: $0 ocean freight (saves $0.10–$0.25/unit), $0 import duty (saves $0.04–$0.30/unit depending on tariff status), and faster turnaround (1–3 weeks vs. 4–6 weeks). NET COST DIFFERENCE: $0.05–$0.35/unit premium for domestic. At $9.99 DTC pricing: the premium is absorbed within the margin. At $3.50–$4.00 B2B pricing: the premium may require a “Made in USA” surcharge ($0.25–$0.50/unit) or be offered as a premium option alongside the standard imported product.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Use cases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RUSH ORDERS: a race director places an urgent order 2 weeks before race day (too late for UK production + ocean freight). Domestic production delivers in 1–2 weeks. The brand charges: a 15–25% rush surcharge (per P3B Section 3) which covers the higher domestic COGS. PREMIUM SKU: “[BRAND] — Made in USA” version at $12.99 DTC ($3 premium over standard $9.99). Test: on Shopify as a variant. If 10–20% of customers choose the Made in USA option: the SKU is viable. GOVERNMENT/MILITARY RACES: events with federal funding or military affiliation may require or prefer US-sourced products. The Marine Corps Marathon and military-base races are prime targets. CO-BRAND PRIORITY: race directors who specifically request Made in USA can be served from the domestic supply at a modest premium.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9–10: contact ProAmpac (or alternative US manufacturer) for: capability confirmation, sample production, and pricing at 5K/10K/25K volumes. Month 10–11: receive and evaluate samples against the Parkside golden sample. If quality meets spec: produce a 2,000-unit test run. Month 11–12: if test run passes quality inspection: add “Made in USA” as a Shopify product variant ($12.99). Use domestic production for all rush orders. Year 2: evaluate demand for Made in USA and adjust the dual-supplier allocation model accordingly.</w:t>
            </w:r>
          </w:p>
        </w:tc>
      </w:tr>
    </w:tbl>
    <w:p>
      <w:r>
        <w:br w:type="page"/>
      </w:r>
    </w:p>
    <w:p>
      <w:pPr>
        <w:pStyle w:val="Heading1"/>
        <w:spacing w:before="360" w:after="200"/>
      </w:pPr>
      <w:r>
        <w:rPr>
          <w:rFonts w:ascii="Arial" w:cs="Arial" w:eastAsia="Arial" w:hAnsi="Arial"/>
        </w:rPr>
        <w:t xml:space="preserve">4. Demand Forecasting</w:t>
      </w:r>
    </w:p>
    <w:p>
      <w:pPr>
        <w:spacing w:after="160"/>
      </w:pPr>
      <w:r>
        <w:rPr>
          <w:rFonts w:ascii="Arial" w:cs="Arial" w:eastAsia="Arial" w:hAnsi="Arial"/>
          <w:b/>
          <w:bCs/>
          <w:i w:val="false"/>
          <w:iCs w:val="false"/>
          <w:color w:val="000000"/>
          <w:sz w:val="22"/>
          <w:szCs w:val="22"/>
        </w:rPr>
        <w:t xml:space="preserve">Year 1 production was planned on ESTIMATES (market size projections, pipeline assumptions, and competitive benchmarks from P0 and P8A). </w:t>
      </w:r>
      <w:r>
        <w:rPr>
          <w:rFonts w:ascii="Arial" w:cs="Arial" w:eastAsia="Arial" w:hAnsi="Arial"/>
          <w:b w:val="false"/>
          <w:bCs w:val="false"/>
          <w:i w:val="false"/>
          <w:iCs w:val="false"/>
          <w:color w:val="000000"/>
          <w:sz w:val="22"/>
          <w:szCs w:val="22"/>
        </w:rPr>
        <w:t xml:space="preserve">Year 2 production is planned on DATA: actual Year 1 sales by channel/month, actual B2B reorder rates, actual DTC conversion rates, actual seasonal patterns, and actual pipeline conversion rates. The forecast model transforms 12 months of data into: a month-by-month Year 2 demand prediction that drives production quantities, inventory levels, and cash flow planning.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Historical baseline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actual data provides: total units sold by channel (B2B standard, B2B co-brand, Amazon, Shopify, expo), units by month (seasonality curve: which months had peak vs. low demand), B2B pipeline conversion rate (what % of pipeline became POs), DTC conversion rate by channel, and geographic distribution (which race cities generated the most demand). This data replaces: all P8A estimates and projections with REALITY.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calendar model</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Map ALL known Year 2 races to a timeline: confirmed B2B orders (locked POs from reorders + early-bird commitments per P5F Section 4), probable B2B orders (pipeline deals at “Proposal Sent” or later stage, weighted at 50–75% probability), potential B2B leads (expo contacts, referrals, and new outreach targets, weighted at 10–25%), and DTC demand per race (estimated based on Year 1 race-specific data: NYC Marathon week generated X% of annual DTC sales). The race calendar model generates: a month-by-month demand forecast with: confirmed demand (locked orders), probable demand (weighted pipeline), and upside potential (new leads + viral/PR-driven demand).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Seven-input forecast model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INPUTS: (1) Year 1 actual sales by month (baseline). (2) Year 1 B2B reorder rate (% of Year 1 races reordering — target 80%+). (3) New B2B races in pipeline (weighted by probability). (4) Year 1 DTC growth rate by channel (Amazon ranking trajectory, Shopify organic growth, ad spend planned). (5) Race calendar density (how many major races in each month). (6) Seasonal adjustment (fall multiplier vs. spring vs. off-season from Year 1 data). (7) External factors (new competitor launches, PR/media coverage expected, economic conditions). OUTPUT: monthly unit forecast for Year 2 with: base case (expected), downside (−20%), and upside (+30%).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Safety stock model</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P3E Section 3: maintain safety stock of 2–4 weeks of average demand. Year 2 safety stock calculation: average monthly demand ÷ 4 × safety-stock-weeks. Example: 5,000 units/month average × 3 weeks safety stock = 3,750 units maintained. Safety stock covers: unexpected demand spikes (viral TikTok, PR feature, large B2B order), production delays (factory equipment issue, shipping delay), and seasonal front-loading (build inventory in July–August for the September–November peak).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Forecast accuracy tracking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Compare: monthly ACTUAL sales to FORECAST. Calculate: forecast accuracy % = 1 − |actual − forecast| ÷ actual. Target: ±20% accuracy for monthly forecasts (±10% for quarterly). If consistently OVER-forecasting (making too much inventory): reduce forecast multiplier and production quantities. If consistently UNDER-forecasting (running out of stock): increase safety stock and consider more frequent, smaller production runs. Review: monthly during the P&amp;L review (P8B Section 2). Adjust: the forecast model inputs after each monthly review.</w:t>
            </w:r>
          </w:p>
        </w:tc>
      </w:tr>
    </w:tbl>
    <w:p>
      <w:r>
        <w:br w:type="page"/>
      </w:r>
    </w:p>
    <w:p>
      <w:pPr>
        <w:pStyle w:val="Heading1"/>
        <w:spacing w:before="360" w:after="200"/>
      </w:pPr>
      <w:r>
        <w:rPr>
          <w:rFonts w:ascii="Arial" w:cs="Arial" w:eastAsia="Arial" w:hAnsi="Arial"/>
        </w:rPr>
        <w:t xml:space="preserve">5. Year 2 Production Schedule: 3 Runs + Domestic Rush</w:t>
      </w:r>
    </w:p>
    <w:p>
      <w:pPr>
        <w:spacing w:after="160"/>
      </w:pPr>
      <w:r>
        <w:rPr>
          <w:rFonts w:ascii="Arial" w:cs="Arial" w:eastAsia="Arial" w:hAnsi="Arial"/>
          <w:b/>
          <w:bCs/>
          <w:i w:val="false"/>
          <w:iCs w:val="false"/>
          <w:color w:val="000000"/>
          <w:sz w:val="22"/>
          <w:szCs w:val="22"/>
        </w:rPr>
        <w:t xml:space="preserve">Year 2 production is structured around the race calendar: </w:t>
      </w:r>
      <w:r>
        <w:rPr>
          <w:rFonts w:ascii="Arial" w:cs="Arial" w:eastAsia="Arial" w:hAnsi="Arial"/>
          <w:b w:val="false"/>
          <w:bCs w:val="false"/>
          <w:i w:val="false"/>
          <w:iCs w:val="false"/>
          <w:color w:val="000000"/>
          <w:sz w:val="22"/>
          <w:szCs w:val="22"/>
        </w:rPr>
        <w:t xml:space="preserve">spring races (March–May) require inventory by March, fall races (September–November) require inventory by August, and holiday/late-fall demand may require a mid-season replenishment. Three planned international production runs plus domestic rush capability provide: seasonal alignment, cost efficiency (longer runs at lower per-unit cost), and flexibility (rush production for unexpected demand).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Run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 1 (Spring prep): January–February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VOLUME: 30–50% of Year 2 forecast. PURPOSE: stock for spring race season (March–May) + replenish Amazon FBA + safety stock build. PRODUCTION: place PO in January, production in January–February, ship via ocean freight in February, arrive US warehouse March. CO-BRAND: spring race co-brand orders must have: logos submitted by December, mockups approved by January, proofs approved by mid-January.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 1 is the EARLIEST production of the year. Lead time from PO to US delivery: 6–8 weeks (UK) or 8–10 weeks (Asia). Spring races start in March: PO must be placed by mid-January at the latest.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 2 (Fall prep): May–June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 40–60% of Year 2 forecast. PURPOSE: stock for the CRITICAL fall race season (September–November) + expo inventory + B2B fall orders. This is the LARGEST production run of the year. PRODUCTION: PO in May, production in May–June, ship ocean in June–July, arrive US warehouse July–August. CO-BRAND: fall race co-brand logos submitted by April, approved by May.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 2 is the most important production event of the year. If it is late or short: the brand misses the fall race season (55–65% of annual revenue). Build a 2-week buffer into every milestone.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 3 (Replenishment): September–October</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VOLUME: 10–20% of Year 2 forecast. PURPOSE: replenish stock depleted by early-fall races, cover late-fall races (NYC, Philadelphia, CIM), and build holiday gift inventory. PRODUCTION: PO in September, production in September–October, ship via AIR FREIGHT if ocean timing is too tight (per P3E Section 7), arrive October–November. This run is OPTIONAL: only needed if Run 2 quantities were insufficient and fall demand exceeds forecast.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 3 is the CONTINGENCY run. It is planned but only executed if: September actual sales exceed forecast by &gt;15%, Amazon FBA stock drops below 4-week supply, or a large unexpected B2B order materializes. Air freight ($2.50–$4.00/kg vs. $0.15–$0.30/kg ocean) is justified only if the revenue from the additional units exceeds the freight premium.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Domestic rush production (as needed)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 1,000–5,000 units per run. PURPOSE: fill rush B2B orders and emergency stock replenishment that cannot wait for ocean freight from UK. PRODUCTION: PO to domestic manufacturer (ProAmpac per Section 3), production in 1–2 weeks, delivery in 2–3 days (domestic ground shipping). COST: $1.40–$1.80/unit (higher than UK but no freight/duty). Used sparingly: 2–4 rush runs per year estimated.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Domestic rush capability is a COMPETITIVE ADVANTAGE: the brand can promise race directors “we can fulfill a 2,000-unit order in 2 weeks” when competitors (importing from Asia) need 6–10 weeks. This capability wins: last-minute orders, emergency replacements, and race directors who plan late.</w:t>
            </w:r>
          </w:p>
        </w:tc>
      </w:tr>
    </w:tbl>
    <w:p>
      <w:pPr>
        <w:spacing w:before="200"/>
      </w:pPr>
    </w:p>
    <w:p>
      <w:pPr>
        <w:pStyle w:val="Heading2"/>
        <w:spacing w:before="280" w:after="160"/>
      </w:pPr>
      <w:r>
        <w:rPr>
          <w:rFonts w:ascii="Arial" w:cs="Arial" w:eastAsia="Arial" w:hAnsi="Arial"/>
        </w:rPr>
        <w:t xml:space="preserve">5.1 Production Quantity Decision Framework</w:t>
      </w:r>
    </w:p>
    <w:p>
      <w:pPr>
        <w:spacing w:after="160"/>
      </w:pPr>
      <w:r>
        <w:rPr>
          <w:rFonts w:ascii="Arial" w:cs="Arial" w:eastAsia="Arial" w:hAnsi="Arial"/>
          <w:b w:val="false"/>
          <w:bCs w:val="false"/>
          <w:i w:val="false"/>
          <w:iCs w:val="false"/>
          <w:color w:val="000000"/>
          <w:sz w:val="22"/>
          <w:szCs w:val="22"/>
        </w:rPr>
        <w:t xml:space="preserve">For EACH production run: STEP 1: calculate CONFIRMED demand (locked B2B POs + Amazon FBA replenishment to target stock level + Shopify inventory target). STEP 2: add PROBABLE demand (weighted B2B pipeline × probability + DTC growth trajectory extrapolation). STEP 3: add SAFETY STOCK (2–4 weeks of average demand per P3E Section 3). STEP 4: subtract EXISTING INVENTORY (units currently in warehouse + FBA + in transit). RESULT: production quantity for this run. DECISION RULE: if the result is &lt;5,000 units: consider combining with the next run to achieve volume discount thresholds. If &gt;50,000 units: consider splitting across 2 production runs for cash flow management (per P8B Section 4 timing model). Review: the production quantity calculation with the Year 2 financial plan (P8D Section 3) to verify: cash is available for the deposit, the production timeline aligns with the demand forecast, and the inventory level doesn’t exceed 4–6 months of projected demand (overstocking ties up cash and risks: product shelf life issues per P2B Section 4 — 10–12 month shelf life).</w:t>
      </w:r>
    </w:p>
    <w:p>
      <w:r>
        <w:br w:type="page"/>
      </w:r>
    </w:p>
    <w:p>
      <w:pPr>
        <w:pStyle w:val="Heading1"/>
        <w:spacing w:before="360" w:after="200"/>
      </w:pPr>
      <w:r>
        <w:rPr>
          <w:rFonts w:ascii="Arial" w:cs="Arial" w:eastAsia="Arial" w:hAnsi="Arial"/>
        </w:rPr>
        <w:t xml:space="preserve">6. 3PL Fulfillment Upgrade</w:t>
      </w:r>
    </w:p>
    <w:p>
      <w:pPr>
        <w:spacing w:after="160"/>
      </w:pPr>
      <w:r>
        <w:rPr>
          <w:rFonts w:ascii="Arial" w:cs="Arial" w:eastAsia="Arial" w:hAnsi="Arial"/>
          <w:b/>
          <w:bCs/>
          <w:i w:val="false"/>
          <w:iCs w:val="false"/>
          <w:color w:val="000000"/>
          <w:sz w:val="22"/>
          <w:szCs w:val="22"/>
        </w:rPr>
        <w:t xml:space="preserve">The founder’s most valuable resource is TIME, not money. </w:t>
      </w:r>
      <w:r>
        <w:rPr>
          <w:rFonts w:ascii="Arial" w:cs="Arial" w:eastAsia="Arial" w:hAnsi="Arial"/>
          <w:b w:val="false"/>
          <w:bCs w:val="false"/>
          <w:i w:val="false"/>
          <w:iCs w:val="false"/>
          <w:color w:val="000000"/>
          <w:sz w:val="22"/>
          <w:szCs w:val="22"/>
        </w:rPr>
        <w:t xml:space="preserve">Every hour spent packing Shopify orders, printing labels, and driving to the post office is an hour NOT spent on: closing B2B deals, creating content, building ambassador relationships, or planning Year 3. The 3PL evaluation determines: whether the founder’s fulfillment time has crossed the threshold where outsourcing is more cost-effective than self-fulfillment.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Current model assessment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fulfillment: FBA for DTC (Amazon handles picking, packing, shipping), Shopify orders fulfilled via: FBA Multi-Channel Fulfillment (MCF) or Pirate Ship self-fulfillment from home/storage unit, B2B orders shipped directly from factory or from home/storage inventory. ASSESS at Month 11: is the current model handling Volume? Is the founder spending &gt;5 hours/week on: packing Shopify orders, managing FBA inbound shipments, coordinating B2B shipments, or dealing with carrier issues? If YES to &gt;5 hours/week: a 3PL upgrade is warranted.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3PL upgrade criteria</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TRIGGER: DTC volume exceeds 200 orders/month (Shopify + Amazon non-FBA), OR B2B volume exceeds 10 shipments/month, OR the founder is spending &gt;5 hours/week on fulfillment. 3PL REQUIREMENTS: multi-channel fulfillment (ship from one warehouse for: Shopify, Amazon FBA inbound, and B2B), co-brand inventory segregation (separate co-brand SKUs by race), kitting capability (assemble multi-packs, ambassador kits, sample kits), and B2B pallet shipping (for large orders to race venues). CANDIDATES: ShipBob ($5–$8/order + $0.20–$0.40/unit pick + $40–$50/month platform fee), ShipMonk ($2.50–$5/order + storage fees), or a regional 3PL near a major shipping hub (cheaper, more personalized service).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Cost-benefit analysis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CURRENT COST: founder’s time at $0 (opportunity cost is real but not a cash expense) + Pirate Ship labels ($3–5/shipment) + packing supplies ($0.50–1.00/order). 3PL COST: $5–$8/order + $0.20–$0.40/unit + $40–$50/month = at 200 orders/month: $1,090–$1,730/month. BENEFIT: the founder reclaims 20–40 hours/month (currently spent on: packing, labeling, carrier drop-off, inventory management, FBA inbound prep). Those 20–40 hours redirected to: B2B sales (worth $2,000–$10,000/month in pipeline value), content creation, and strategic planning. The 3PL pays for itself if: the founder’s reclaimed time generates &gt;$1,730/month in additional revenue (equivalent to ~1 small B2B order per month).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Transition plan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11: evaluate fulfillment time spent and order volumes against the trigger criteria. If triggered: request quotes from 3 3PLs (ShipBob, ShipMonk, and 1 regional option). Month 12: select 3PL, begin onboarding (set up account, integrate with Shopify + Amazon, ship inventory to 3PL warehouse). Month 1 Year 2: parallel operation (founder + 3PL both fulfill for 2–4 weeks to verify accuracy). Month 2 Year 2: full transition to 3PL. Founder handles: B2B relationship management, co-brand coordination, and strategic oversight only. All picking/packing/shipping handled by 3PL.</w:t>
            </w:r>
          </w:p>
        </w:tc>
      </w:tr>
    </w:tbl>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MONTH 8–9: Begin volume pricing negotiation (Section 1): request Year 2 quotes from primary + 2 alternative suppliers. Start second supplier qualification (Section 2): contact ProAmpac and 1–2 other candidates, request samples + pricing. Research domestic manufacturing (Section 3): confirm ProAmpac capabilities, request sample production.</w:t>
      </w:r>
    </w:p>
    <w:p>
      <w:pPr>
        <w:spacing w:after="160"/>
      </w:pPr>
      <w:r>
        <w:rPr>
          <w:rFonts w:ascii="Arial" w:cs="Arial" w:eastAsia="Arial" w:hAnsi="Arial"/>
          <w:b/>
          <w:bCs/>
          <w:i w:val="false"/>
          <w:iCs w:val="false"/>
          <w:color w:val="000000"/>
          <w:sz w:val="22"/>
          <w:szCs w:val="22"/>
        </w:rPr>
        <w:t xml:space="preserve">MONTH 9–10: Receive and evaluate all supplier quotes and samples. Finalize primary supplier Year 2 pricing. Select second supplier and produce 1,000–2,000 unit test run. Evaluate domestic manufacturer samples against golden sample spec.</w:t>
      </w:r>
    </w:p>
    <w:p>
      <w:pPr>
        <w:spacing w:after="160"/>
      </w:pPr>
      <w:r>
        <w:rPr>
          <w:rFonts w:ascii="Arial" w:cs="Arial" w:eastAsia="Arial" w:hAnsi="Arial"/>
          <w:b/>
          <w:bCs/>
          <w:i w:val="false"/>
          <w:iCs w:val="false"/>
          <w:color w:val="000000"/>
          <w:sz w:val="22"/>
          <w:szCs w:val="22"/>
        </w:rPr>
        <w:t xml:space="preserve">MONTH 10–11: Build the demand forecasting model (Section 4) using Year 1 actual data. Generate: Year 2 month-by-month forecast in base/downside/upside scenarios. Plan Year 2 production schedule (Section 5): determine Run 1/2/3 quantities and timing. Evaluate 3PL upgrade (Section 6): assess fulfillment time spent, order volumes, and trigger criteria.</w:t>
      </w:r>
    </w:p>
    <w:p>
      <w:pPr>
        <w:spacing w:after="160"/>
      </w:pPr>
      <w:r>
        <w:rPr>
          <w:rFonts w:ascii="Arial" w:cs="Arial" w:eastAsia="Arial" w:hAnsi="Arial"/>
          <w:b/>
          <w:bCs/>
          <w:i w:val="false"/>
          <w:iCs w:val="false"/>
          <w:color w:val="000000"/>
          <w:sz w:val="22"/>
          <w:szCs w:val="22"/>
        </w:rPr>
        <w:t xml:space="preserve">MONTH 11–12: Sign Year 2 annual pricing agreement with primary supplier. If 3PL triggered: select and begin onboarding. Finalize Year 2 production schedule: place Run 1 PO in January for spring inventory. Add domestic rush capability: confirm ProAmpac as rush-order supplier with 1–2 week turnaround.</w:t>
      </w:r>
    </w:p>
    <w:p>
      <w:pPr>
        <w:spacing w:after="160"/>
      </w:pPr>
      <w:r>
        <w:rPr>
          <w:rFonts w:ascii="Arial" w:cs="Arial" w:eastAsia="Arial" w:hAnsi="Arial"/>
          <w:b w:val="false"/>
          <w:bCs w:val="false"/>
          <w:i w:val="false"/>
          <w:iCs w:val="false"/>
          <w:color w:val="000000"/>
          <w:sz w:val="22"/>
          <w:szCs w:val="22"/>
        </w:rPr>
        <w:t xml:space="preserve">BUDGET: Second supplier sample production: $200–$500. Domestic manufacturer samples: $200–$500. 3PL setup (if triggered): $0–$200 onboarding fee. 3PL ongoing (if triggered): $1,090–$1,730/month at 200 orders/month. Volume pricing negotiation: $0 (founder’s time). Demand forecasting model: $0 (Google Sheets). TOTAL P10A setup: $400–$1,200 + $0–$1,730/month ongoing 3PL.</w:t>
      </w:r>
    </w:p>
    <w:p>
      <w:r>
        <w:br w:type="page"/>
      </w:r>
    </w:p>
    <w:p>
      <w:pPr>
        <w:pStyle w:val="Heading1"/>
        <w:spacing w:before="360" w:after="200"/>
      </w:pPr>
      <w:r>
        <w:rPr>
          <w:rFonts w:ascii="Arial" w:cs="Arial" w:eastAsia="Arial" w:hAnsi="Arial"/>
        </w:rPr>
        <w:t xml:space="preserve">8. Conclusion: Scale the Machine Before You Feed It More</w:t>
      </w:r>
    </w:p>
    <w:p>
      <w:pPr>
        <w:spacing w:after="160"/>
      </w:pPr>
      <w:r>
        <w:rPr>
          <w:rFonts w:ascii="Arial" w:cs="Arial" w:eastAsia="Arial" w:hAnsi="Arial"/>
          <w:b/>
          <w:bCs/>
          <w:i w:val="false"/>
          <w:iCs w:val="false"/>
          <w:color w:val="000000"/>
          <w:sz w:val="22"/>
          <w:szCs w:val="22"/>
        </w:rPr>
        <w:t xml:space="preserve">The worst outcome in Year 2 is: demand that exceeds the ability to fulfill. </w:t>
      </w:r>
      <w:r>
        <w:rPr>
          <w:rFonts w:ascii="Arial" w:cs="Arial" w:eastAsia="Arial" w:hAnsi="Arial"/>
          <w:b w:val="false"/>
          <w:bCs w:val="false"/>
          <w:i w:val="false"/>
          <w:iCs w:val="false"/>
          <w:color w:val="000000"/>
          <w:sz w:val="22"/>
          <w:szCs w:val="22"/>
        </w:rPr>
        <w:t xml:space="preserve">A race director who places a 5,000-unit order and is told “we can’t deliver in time” never orders again. An Amazon customer who sees “out of stock” during NYC Marathon week buys a competitor’s product and never returns. A Shopify order that ships late because the founder was packing boxes instead of planning production erodes the brand’s reputation one review at a time.</w:t>
      </w:r>
    </w:p>
    <w:p>
      <w:pPr>
        <w:spacing w:after="160"/>
      </w:pPr>
      <w:r>
        <w:rPr>
          <w:rFonts w:ascii="Arial" w:cs="Arial" w:eastAsia="Arial" w:hAnsi="Arial"/>
          <w:b/>
          <w:bCs/>
          <w:i w:val="false"/>
          <w:iCs w:val="false"/>
          <w:color w:val="000000"/>
          <w:sz w:val="22"/>
          <w:szCs w:val="22"/>
        </w:rPr>
        <w:t xml:space="preserve">The 6 systems in this document ensure: demand is PREDICTED (forecasting), supply is SECURED (dual supplier + domestic), costs are OPTIMIZED (volume pricing), production is SCHEDULED (3-run plan), and fulfillment is SCALABLE (3PL upgrade). </w:t>
      </w:r>
      <w:r>
        <w:rPr>
          <w:rFonts w:ascii="Arial" w:cs="Arial" w:eastAsia="Arial" w:hAnsi="Arial"/>
          <w:b w:val="false"/>
          <w:bCs w:val="false"/>
          <w:i w:val="false"/>
          <w:iCs w:val="false"/>
          <w:color w:val="000000"/>
          <w:sz w:val="22"/>
          <w:szCs w:val="22"/>
        </w:rPr>
        <w:t xml:space="preserve">Build these systems in Months 8–12 — before Year 2 demand arrives. The machine must be scaled BEFORE it is fed more volume. A machine that isn’t ready for growth breaks under load. A machine that is ready turns volume into profit.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2026-04-01T13:12:49.173Z</dcterms:created>
  <dcterms:modified xsi:type="dcterms:W3CDTF">2026-04-01T13:12:49.174Z</dcterms:modified>
</cp:coreProperties>
</file>

<file path=docProps/custom.xml><?xml version="1.0" encoding="utf-8"?>
<Properties xmlns="http://schemas.openxmlformats.org/officeDocument/2006/custom-properties" xmlns:vt="http://schemas.openxmlformats.org/officeDocument/2006/docPropsVTypes"/>
</file>