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P10C: INTERNATIONAL</w:t>
      </w:r>
    </w:p>
    <w:p>
      <w:pPr>
        <w:spacing w:after="200"/>
        <w:jc w:val="center"/>
      </w:pPr>
      <w:r>
        <w:rPr>
          <w:rFonts w:ascii="Arial" w:cs="Arial" w:eastAsia="Arial" w:hAnsi="Arial"/>
          <w:b/>
          <w:bCs/>
          <w:color w:val="1B3A6B"/>
          <w:sz w:val="44"/>
          <w:szCs w:val="44"/>
        </w:rPr>
        <w:t xml:space="preserve">EXPANSION</w:t>
      </w:r>
    </w:p>
    <w:p>
      <w:pPr>
        <w:pBdr>
          <w:bottom w:val="single" w:color="2E5090" w:sz="6" w:space="12"/>
        </w:pBdr>
        <w:spacing w:after="100"/>
        <w:jc w:val="center"/>
      </w:pPr>
      <w:r>
        <w:rPr>
          <w:rFonts w:ascii="Arial" w:cs="Arial" w:eastAsia="Arial" w:hAnsi="Arial"/>
          <w:color w:val="666666"/>
          <w:sz w:val="24"/>
          <w:szCs w:val="24"/>
        </w:rPr>
        <w:t xml:space="preserve">Sub-Project P10C  |  Scaling, Expansion &amp; Category Leadership  |  Months 10–18</w:t>
      </w:r>
    </w:p>
    <w:p>
      <w:pPr>
        <w:spacing w:before="400"/>
        <w:jc w:val="center"/>
      </w:pPr>
      <w:r>
        <w:rPr>
          <w:rFonts w:ascii="Arial" w:cs="Arial" w:eastAsia="Arial" w:hAnsi="Arial"/>
          <w:i/>
          <w:iCs/>
          <w:color w:val="888888"/>
          <w:sz w:val="22"/>
          <w:szCs w:val="22"/>
        </w:rPr>
        <w:t xml:space="preserve">Complete International Strategy: 7 European Race Markets, EU Regulatory Framework, 4-Option Distribution Strategy, European Race Director Outreach, Canadian Market Entry, and International Pricing Model</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The US marathon market is the launchpad. The GLOBAL marathon market is the destination. </w:t>
      </w:r>
      <w:r>
        <w:rPr>
          <w:rFonts w:ascii="Arial" w:cs="Arial" w:eastAsia="Arial" w:hAnsi="Arial"/>
          <w:b w:val="false"/>
          <w:bCs w:val="false"/>
          <w:i w:val="false"/>
          <w:iCs w:val="false"/>
          <w:color w:val="000000"/>
          <w:sz w:val="22"/>
          <w:szCs w:val="22"/>
        </w:rPr>
        <w:t xml:space="preserve">2.5 million cold-weather race participants in the US represent the initial TAM. Add: 3+ million European marathon/half-marathon finishers, 500K+ Canadian participants, and 2M+ runners across Japan, Australia, and other markets — the GLOBAL TAM exceeds 8 million participants generating 16–40 million single-use warmth products per year. International expansion transforms the brand from: a US niche product into a global category leader in compostable athletic event products.</w:t>
      </w:r>
    </w:p>
    <w:p>
      <w:pPr>
        <w:spacing w:after="160"/>
      </w:pPr>
      <w:r>
        <w:rPr>
          <w:rFonts w:ascii="Arial" w:cs="Arial" w:eastAsia="Arial" w:hAnsi="Arial"/>
          <w:b/>
          <w:bCs/>
          <w:i w:val="false"/>
          <w:iCs w:val="false"/>
          <w:color w:val="000000"/>
          <w:sz w:val="22"/>
          <w:szCs w:val="22"/>
        </w:rPr>
        <w:t xml:space="preserve">This document maps the international expansion strategy: </w:t>
      </w:r>
      <w:r>
        <w:rPr>
          <w:rFonts w:ascii="Arial" w:cs="Arial" w:eastAsia="Arial" w:hAnsi="Arial"/>
          <w:b w:val="false"/>
          <w:bCs w:val="false"/>
          <w:i w:val="false"/>
          <w:iCs w:val="false"/>
          <w:color w:val="000000"/>
          <w:sz w:val="22"/>
          <w:szCs w:val="22"/>
        </w:rPr>
        <w:t xml:space="preserve">7 European target races prioritized by: runner volume, cold-weather potential, composting infrastructure, and sustainability culture. An EU regulatory framework covering: EN 13432 certification, PPWR packaging compliance, Green Claims Directive, and VAT/customs. 4 distribution options from direct-from-UK (simplest) to EU distribution partner (most scalable). European race director outreach with translated materials and industry event strategy. Canadian market entry leveraging: USMCA 0% duty, Amazon.ca, and bilingual packaging. And a comprehensive international pricing model accounting for: COGS, freight, duties, currency, VAT, and local competitive dynamics.</w:t>
      </w:r>
    </w:p>
    <w:p>
      <w:r>
        <w:br w:type="page"/>
      </w:r>
    </w:p>
    <w:p>
      <w:pPr>
        <w:pStyle w:val="Heading1"/>
        <w:spacing w:before="360" w:after="200"/>
      </w:pPr>
      <w:r>
        <w:rPr>
          <w:rFonts w:ascii="Arial" w:cs="Arial" w:eastAsia="Arial" w:hAnsi="Arial"/>
        </w:rPr>
        <w:t xml:space="preserve">1. European Race Market: 7 Target Races</w:t>
      </w:r>
    </w:p>
    <w:p>
      <w:pPr>
        <w:spacing w:after="160"/>
      </w:pPr>
      <w:r>
        <w:rPr>
          <w:rFonts w:ascii="Arial" w:cs="Arial" w:eastAsia="Arial" w:hAnsi="Arial"/>
          <w:b/>
          <w:bCs/>
          <w:i w:val="false"/>
          <w:iCs w:val="false"/>
          <w:color w:val="000000"/>
          <w:sz w:val="22"/>
          <w:szCs w:val="22"/>
        </w:rPr>
        <w:t xml:space="preserve">Europe hosts 4 of the 6 World Marathon Majors (Berlin, London, Tokyo) and hundreds of additional marathons with: cold start-line conditions, strong environmental awareness, and developing composting infrastructure. </w:t>
      </w:r>
      <w:r>
        <w:rPr>
          <w:rFonts w:ascii="Arial" w:cs="Arial" w:eastAsia="Arial" w:hAnsi="Arial"/>
          <w:b w:val="false"/>
          <w:bCs w:val="false"/>
          <w:i w:val="false"/>
          <w:iCs w:val="false"/>
          <w:color w:val="000000"/>
          <w:sz w:val="22"/>
          <w:szCs w:val="22"/>
        </w:rPr>
        <w:t xml:space="preserve">The European market is: larger than the US by runner volume, more sustainability-conscious by culture, and increasingly regulated in favor of compostable products (France’s mandatory biowaste collection, EU PPWR, Green Claims Directive). The timing is ideal: regulatory tailwinds are pushing the market TOWARD compostable solutions faster than the US market.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Race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Priority /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Berlin Marathon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September. 45,000+ runners. Cold start potential (12–18°C / 54–65°F average). Organizer: SCC Events. Sustainability: Berlin has aggressive municipal composting infrastructure and strong public environmental awareness. One of the World Marathon Majors.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PRIORITY. Berlin combines: massive scale, cold-weather potential, strong composting infrastructure, and a sustainability-conscious city culture. SCC Events is a professional organizer open to innovation.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London Marathon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April. 50,000+ runners. Variable weather (8–15°C / 46–59°F). Organizer: London Marathon Events. Sustainability: LME has published sustainability commitments and works with environmental partners. WORLD MARATHON MAJOR.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PRIORITY. Largest European marathon. Cold April starts. London’s composting infrastructure is developing. The brand’s UK supplier (Parkside) enables: LOCAL production with zero international freight to the UK market.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Paris Marathon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April. 50,000+ runners. Cool starts (8–14°C / 46–57°F). Organizer: Amaury Sport Organisation (ASO). France has strong municipal composting laws (mandatory biowaste collection from 2024).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PRIORITY. France’s mandatory biowaste collection law creates regulatory TAILWIND for compostable products. ASO operates multiple events (Paris Marathon, Tour de France) — a partnership could extend beyond running.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Valencia Marathon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December. 25,000+ runners. Mild weather (10–16°C / 50–61°F — cooler than expected for Spain). Growing sustainability focus. Known for: fast course, growing international participation.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PRIORITY. Cooler December weather creates poncho demand. Valencia is a growing marathon destination with increasing international attention. Lower competition for sustainability partnerships than London/Berlin/Paris.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Amsterdam Marathon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October. 15,000+ runners. Cold starts (8–14°C / 46–57°F). Netherlands has: the highest composting rate in Europe and strong circular economy policies. Organizer: Le Champion.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 PRIORITY. Netherlands’ composting leadership makes: composting logistics straightforward. Smaller race than the Majors but: a strong pilot candidate due to: composting infrastructure, sustainability-oriented city, and professional organizer.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Copenhagen Marathon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May. 12,000+ runners. Cool weather (10–16°C / 50–61°F). Denmark: aggressive circular economy policies, strong composting infrastructure, and high public environmental awareness.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PRIORITY. Denmark’s circular economy leadership aligns with the brand’s sustainability mission. Copenhagen’s compact size makes composting logistics manageable for a pilot. Smaller scale but: high-value sustainability story.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Tokyo Marathon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March. 38,000+ runners. Cool starts (5–12°C / 41–54°F). World Marathon Major. Japan: highly organized composting systems, cultural emphasis on waste separation, and strong sustainability awareness.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3+ PRIORITY. Japan’s cultural alignment with waste reduction is ideal. HOWEVER: language barriers, regulatory complexity (Japanese composting standards differ from ASTM/EN), and the need for a local distribution partner make this a longer-term opportunity.</w:t>
            </w:r>
          </w:p>
        </w:tc>
      </w:tr>
    </w:tbl>
    <w:p>
      <w:pPr>
        <w:spacing w:before="200"/>
      </w:pPr>
    </w:p>
    <w:p>
      <w:pPr>
        <w:pStyle w:val="Heading2"/>
        <w:spacing w:before="280" w:after="160"/>
      </w:pPr>
      <w:r>
        <w:rPr>
          <w:rFonts w:ascii="Arial" w:cs="Arial" w:eastAsia="Arial" w:hAnsi="Arial"/>
        </w:rPr>
        <w:t xml:space="preserve">1.1 EU Market Entry Sequence</w:t>
      </w:r>
    </w:p>
    <w:p>
      <w:pPr>
        <w:spacing w:after="160"/>
      </w:pPr>
      <w:r>
        <w:rPr>
          <w:rFonts w:ascii="Arial" w:cs="Arial" w:eastAsia="Arial" w:hAnsi="Arial"/>
          <w:b w:val="false"/>
          <w:bCs w:val="false"/>
          <w:i w:val="false"/>
          <w:iCs w:val="false"/>
          <w:color w:val="000000"/>
          <w:sz w:val="22"/>
          <w:szCs w:val="22"/>
        </w:rPr>
        <w:t xml:space="preserve">YEAR 2 (2 pilot races): London Marathon (UK market, zero customs via domestic Parkside production, English-speaking) + 1 Continental European race (Amsterdam or Berlin — strong composting infrastructure, English widely used). The UK pilot tests: product-market fit in Europe with minimal logistics complexity (Parkside produces and ships domestically). The Continental pilot tests: cross-border logistics, EN 13432 compliance in practice, and non-English race director engagement. YEAR 3 (expand to 4–6 races): add Paris (France’s composting mandate creates demand), Berlin (World Marathon Major scale), Copenhagen/Valencia (sustainability-focused smaller races). YEAR 4+: Tokyo and other Asian markets (requires: local certification, distribution partner, and significant cultural adaptation).</w:t>
      </w:r>
    </w:p>
    <w:p>
      <w:r>
        <w:br w:type="page"/>
      </w:r>
    </w:p>
    <w:p>
      <w:pPr>
        <w:pStyle w:val="Heading1"/>
        <w:spacing w:before="360" w:after="200"/>
      </w:pPr>
      <w:r>
        <w:rPr>
          <w:rFonts w:ascii="Arial" w:cs="Arial" w:eastAsia="Arial" w:hAnsi="Arial"/>
        </w:rPr>
        <w:t xml:space="preserve">2. EU Regulatory Framework: 5 Areas</w:t>
      </w:r>
    </w:p>
    <w:p>
      <w:pPr>
        <w:spacing w:after="160"/>
      </w:pPr>
      <w:r>
        <w:rPr>
          <w:rFonts w:ascii="Arial" w:cs="Arial" w:eastAsia="Arial" w:hAnsi="Arial"/>
          <w:b/>
          <w:bCs/>
          <w:i w:val="false"/>
          <w:iCs w:val="false"/>
          <w:color w:val="000000"/>
          <w:sz w:val="22"/>
          <w:szCs w:val="22"/>
        </w:rPr>
        <w:t xml:space="preserve">The EU regulatory environment for compostable products is MORE COMPLEX than the US but also MORE FAVORABLE. </w:t>
      </w:r>
      <w:r>
        <w:rPr>
          <w:rFonts w:ascii="Arial" w:cs="Arial" w:eastAsia="Arial" w:hAnsi="Arial"/>
          <w:b w:val="false"/>
          <w:bCs w:val="false"/>
          <w:i w:val="false"/>
          <w:iCs w:val="false"/>
          <w:color w:val="000000"/>
          <w:sz w:val="22"/>
          <w:szCs w:val="22"/>
        </w:rPr>
        <w:t xml:space="preserve">Where the US has: voluntary FTC Green Guides and BPI certification, the EU has: mandatory composting standards (EN 13432), mandatory packaging regulations (PPWR), and forthcoming mandatory green claims verification (Green Claims Directive). This regulation HELPS the brand because: it creates BARRIERS TO ENTRY that unsubstantiated competitors cannot cross, and it creates DEMAND for certified compostable products from race directors seeking regulatory compliance.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EN 13432 certification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REQUIRED for “compostable” claims in EU markets. EN 13432 sets: stricter biodegradation thresholds than ASTM D6400 (90% in 6 months vs. 60% in 6 months). If the product already has EN 13432 certification (obtained simultaneously with ASTM D6400 per P9C Section 3 recommendation): the product is EU-market-ready. If NOT: testing takes 6–9 months and costs $2,000–$5,000 additional. PRIORITY: obtain EN 13432 during Year 1 if budget allows (run both ASTM D6400 and EN 13432 tests simultaneously at the same lab for incremental cost savings).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EU Packaging and Packaging Waste Regulation (PPWR)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PPWR (effective 2025–2030, phased implementation) introduces: mandatory recycled content targets for packaging, restrictions on certain single-use packaging materials, and specific labeling requirements for compostable packaging. The poncho’s compostable inner bag and card/sleeve must comply with: PPWR labeling requirements (harmonized EU-wide labels for composting/recycling disposal), material composition reporting, and Extended Producer Responsibility (EPR) obligations (the brand may need to register in each EU country and contribute to national packaging waste collection systems). IMPACT: EPR registration adds: $500–$2,000/year per country and requires: reporting packaging weight placed on the market.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EU Green Claims Directive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Expected implementation 2026–2027. Requires: substantiation of ALL environmental claims with scientific evidence, pre-approval of certain claims before use in advertising, and penalties for unsubstantiated greenwashing. The brand’s EN 13432 certification and BPI certification provide: strong substantiation for “compostable” claims. However: the specific claim LANGUAGE may need to be adapted to EU requirements (which may differ from FTC Green Guides per P9C Section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CE marking and product safety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poncho may be classified as: Personal Protective Equipment (PPE) if marketed for “protection” against cold, OR a general consumer product if marketed for “warmth and comfort.” PPE classification requires: CE marking, conformity assessment, and EU type-examination. RECOMMENDATION: market as “warmth and comfort” (NOT “protection” or “safety”) to avoid PPE classification. This aligns with: the current US marketing (the poncho provides warmth, not safety) and reduces: regulatory burden.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VAT and customs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EU VAT rates: 19–27% depending on country (Germany 19%, France 20%, Netherlands 21%, Denmark 25%). VAT must be: charged to EU consumers at the applicable rate AND remitted to the relevant EU tax authority. CUSTOMS: if shipping from the US to EU: import duties apply (varies by HTS classification and country). If shipping from UK (Parkside): post-Brexit, UK-to-EU shipments are subject to customs procedures but: the EU-UK Trade and Cooperation Agreement provides 0% tariffs on goods originating in the UK that meet rules-of-origin requirements. STRATEGY: produce at Parkside UK and ship directly to EU customers to leverage: UK-EU trade agreement for 0% tariffs + proximity for faster delivery.</w:t>
            </w:r>
          </w:p>
        </w:tc>
      </w:tr>
    </w:tbl>
    <w:p>
      <w:r>
        <w:br w:type="page"/>
      </w:r>
    </w:p>
    <w:p>
      <w:pPr>
        <w:pStyle w:val="Heading1"/>
        <w:spacing w:before="360" w:after="200"/>
      </w:pPr>
      <w:r>
        <w:rPr>
          <w:rFonts w:ascii="Arial" w:cs="Arial" w:eastAsia="Arial" w:hAnsi="Arial"/>
        </w:rPr>
        <w:t xml:space="preserve">3. EU Distribution: 4 Options</w:t>
      </w:r>
    </w:p>
    <w:p>
      <w:pPr>
        <w:spacing w:after="160"/>
      </w:pPr>
      <w:r>
        <w:rPr>
          <w:rFonts w:ascii="Arial" w:cs="Arial" w:eastAsia="Arial" w:hAnsi="Arial"/>
          <w:b/>
          <w:bCs/>
          <w:i w:val="false"/>
          <w:iCs w:val="false"/>
          <w:color w:val="000000"/>
          <w:sz w:val="22"/>
          <w:szCs w:val="22"/>
        </w:rPr>
        <w:t xml:space="preserve">Distribution is the operational challenge of international expansion. </w:t>
      </w:r>
      <w:r>
        <w:rPr>
          <w:rFonts w:ascii="Arial" w:cs="Arial" w:eastAsia="Arial" w:hAnsi="Arial"/>
          <w:b w:val="false"/>
          <w:bCs w:val="false"/>
          <w:i w:val="false"/>
          <w:iCs w:val="false"/>
          <w:color w:val="000000"/>
          <w:sz w:val="22"/>
          <w:szCs w:val="22"/>
        </w:rPr>
        <w:t xml:space="preserve">The product must physically reach: EU race venues (for B2B), EU consumers (for DTC), and EU Amazon warehouses (for marketplace sales). Each option trades: cost vs. control vs. scalability. The recommended approach phases from: minimal-infrastructure direct shipping (Year 2) to hub-and-spoke 3PL (Year 2–3) to distribution partnership (Year 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Option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Option A: Direct from UK (Parkside)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finished goods from Parkside UK directly to: EU race venues for B2B orders, and an EU-based 3PL for DTC orders. Advantages: zero additional manufacturing setup, Parkside handles production + UK-to-EU logistics, and UK-EU 0% tariff under the Trade and Cooperation Agreement. Disadvantages: customs paperwork for every UK-to-EU shipment, potential delays at customs, and EPR registration required in each destination country.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Option B: EU 3PL hub</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Stock inventory at an EU-based 3PL warehouse (e.g., Hive, byrd, or Amazon FBA Europe) and fulfill: DTC orders within the EU from the hub, and B2B orders via direct shipment from the hub to race venues. Advantages: no customs delays for individual orders (customs cleared once on bulk inbound), faster DTC delivery (2–5 days within EU), Amazon FBA Europe integration for EU Amazon marketplace. Disadvantages: additional warehousing cost ($200–$500/month), inventory tied up in the EU hub, and the brand must manage: EU VAT registration, EPR compliance, and EU-specific labeling.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Option C: EU distribution partner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Partner with an established EU sports/event distributor who: imports, warehouses, and distributes on behalf of the brand. The distributor handles: customs clearance, VAT, EPR, and fulfillment. The brand provides: product and marketing support. TERMS: the distributor buys at wholesale (40–50% of retail) and resells to race directors and retail outlets. Advantages: minimal operational burden for the brand, leverages the distributor’s existing race director relationships and logistics infrastructure. Disadvantages: lower margin (brand earns wholesale, not retail), less control over pricing and customer relationships, and dependency on the distributor’s sales effort.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Recommended approach</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2: start with Option A (direct from Parkside UK) for B2B orders to 2–3 EU pilot races. This requires: minimal setup (Parkside ships directly), tests: EU demand without significant infrastructure investment. YEAR 2–3 (if EU demand is proven): transition to Option B (EU 3PL hub) for: DTC orders on EU Amazon + Shopify international, and continued B2B fulfillment. YEAR 3+ (if EU volume justifies): evaluate Option C (distribution partner) for: scaling beyond the founder’s capacity to manage EU operations directly.</w:t>
            </w:r>
          </w:p>
        </w:tc>
      </w:tr>
    </w:tbl>
    <w:p>
      <w:r>
        <w:br w:type="page"/>
      </w:r>
    </w:p>
    <w:p>
      <w:pPr>
        <w:pStyle w:val="Heading1"/>
        <w:spacing w:before="360" w:after="200"/>
      </w:pPr>
      <w:r>
        <w:rPr>
          <w:rFonts w:ascii="Arial" w:cs="Arial" w:eastAsia="Arial" w:hAnsi="Arial"/>
        </w:rPr>
        <w:t xml:space="preserve">4. European Race Director Outreach</w:t>
      </w:r>
    </w:p>
    <w:p>
      <w:pPr>
        <w:spacing w:after="160"/>
      </w:pPr>
      <w:r>
        <w:rPr>
          <w:rFonts w:ascii="Arial" w:cs="Arial" w:eastAsia="Arial" w:hAnsi="Arial"/>
          <w:b/>
          <w:bCs/>
          <w:i w:val="false"/>
          <w:iCs w:val="false"/>
          <w:color w:val="000000"/>
          <w:sz w:val="22"/>
          <w:szCs w:val="22"/>
        </w:rPr>
        <w:t xml:space="preserve">EU B2B outreach follows the same framework as US outreach (P5A) with: cultural adaptations, language considerations, and different industry event access points. </w:t>
      </w:r>
      <w:r>
        <w:rPr>
          <w:rFonts w:ascii="Arial" w:cs="Arial" w:eastAsia="Arial" w:hAnsi="Arial"/>
          <w:b w:val="false"/>
          <w:bCs w:val="false"/>
          <w:i w:val="false"/>
          <w:iCs w:val="false"/>
          <w:color w:val="000000"/>
          <w:sz w:val="22"/>
          <w:szCs w:val="22"/>
        </w:rPr>
        <w:t xml:space="preserve">The US pilot case studies are the #1 sales tool: European race directors respect US marathon innovation (the World Marathon Majors brand carries global credibility), and composting data from US pilots provides proof that the concept works at scale.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Research phase (Month 14–16)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Identify 10–15 European race directors at target races (Section 1 table). Source contacts via: race websites (contact pages), LinkedIn (search: “[Race Name] race director”), European running industry events (The Running Event EU, European Athletics events), and referrals from US race directors who have connections to European counterparts.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Initial outreach (Month 16–18)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personalized emails to 10–15 EU race directors. PITCH: “I’m [Founder Name], founder of [BRAND]. We make BPI and EN 13432 certified compostable warmth ponchos for marathon start lines. We’ve successfully piloted at [X] US races, composting [Y] lbs of start-line waste. I’d love to discuss a pilot at [Race Name]. We handle all composting logistics including local facility coordination. Can I send you a sample kit?” INCLUDE: press release, case study from US pilot, product samples (ship 2–3 ponchos via international mail, $15–30 shipping).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EU industry events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Running Event EU (TRE EU): annual trade show for the European running industry. Location rotates (Munich, Amsterdam, etc.). Attendance: race directors, brand representatives, sustainability professionals. COST: $1,000–$3,000 (registration + travel + accommodation). VALUE: direct access to 50–100+ European race directors in 2 days. Booth: $2,000–$5,000 (if exhibiting). RECOMMENDATION: attend without a booth in Year 2 (networking only, $1,000–$1,500 cost). Exhibit in Year 3 if EU B2B pipeline justifies the investment.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Language and cultural considerations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English is widely used in: UK, Netherlands, Scandinavia, and international race organizations. German, French, and Spanish race directors may prefer: communication in their native language. MITIGATION: hire a freelance translator ($50–$150 per translated email/document) for: initial outreach emails, product data sheets, and B2B terms in German, French, and Spanish. Long-term: if EU B2B grows to 5+ races: consider a part-time EU business development contractor ($2,000–$4,000/month, 10–20 hours/week) who is native in German or French and handles: outreach, relationship management, and trade event attendance.</w:t>
            </w:r>
          </w:p>
        </w:tc>
      </w:tr>
    </w:tbl>
    <w:p>
      <w:r>
        <w:br w:type="page"/>
      </w:r>
    </w:p>
    <w:p>
      <w:pPr>
        <w:pStyle w:val="Heading1"/>
        <w:spacing w:before="360" w:after="200"/>
      </w:pPr>
      <w:r>
        <w:rPr>
          <w:rFonts w:ascii="Arial" w:cs="Arial" w:eastAsia="Arial" w:hAnsi="Arial"/>
        </w:rPr>
        <w:t xml:space="preserve">5. Canadian Market Entry</w:t>
      </w:r>
    </w:p>
    <w:p>
      <w:pPr>
        <w:spacing w:after="160"/>
      </w:pPr>
      <w:r>
        <w:rPr>
          <w:rFonts w:ascii="Arial" w:cs="Arial" w:eastAsia="Arial" w:hAnsi="Arial"/>
          <w:b/>
          <w:bCs/>
          <w:i w:val="false"/>
          <w:iCs w:val="false"/>
          <w:color w:val="000000"/>
          <w:sz w:val="22"/>
          <w:szCs w:val="22"/>
        </w:rPr>
        <w:t xml:space="preserve">Canada is the EASIEST international expansion target: </w:t>
      </w:r>
      <w:r>
        <w:rPr>
          <w:rFonts w:ascii="Arial" w:cs="Arial" w:eastAsia="Arial" w:hAnsi="Arial"/>
          <w:b w:val="false"/>
          <w:bCs w:val="false"/>
          <w:i w:val="false"/>
          <w:iCs w:val="false"/>
          <w:color w:val="000000"/>
          <w:sz w:val="22"/>
          <w:szCs w:val="22"/>
        </w:rPr>
        <w:t xml:space="preserve">English-speaking (except Quebec — bilingual requirement), 0% import duty under USMCA, strong municipal composting infrastructure in all major cities, cold-weather races that create strong poncho demand, and proximity (ground shipping from US warehouse, 3–7 day delivery). Canada is the “test case” for international expansion: if the brand can serve Canadian races and DTC customers efficiently, it validates the operational model for further international scaling.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Market overview</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Canada hosts 100+ marathons and half-marathons annually. Key cold-weather races: Ottawa Marathon (May, 5–15°C / 41–59°F), Toronto Waterfront Marathon (October, 5–15°C), Vancouver Marathon (May, 10–18°C), Montreal Marathon (September, 10–20°C), and Calgary Marathon (May, 5–15°C). Canadian runners are: cold-weather experienced (races in April–May and September–October are frequently &lt;10°C), environmentally conscious (Canada has strong municipal composting programs in all major cities), and underserved by compostable alternatives (garbage bags and donated clothing are the norm at Canadian start lines).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Regulatory requirements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claims: Canada follows: Canadian Standards Association (CSA) standards for compostable products. CSA Group Standard CAN/BNQ 0017-088: “Compostable Plastics” is harmonized with ASTM D6400. If the product has ASTM D6400 certification: it likely meets CAN/BNQ 0017-088 (verify with a testing lab). Competition Bureau of Canada: regulates environmental claims (similar to FTC Green Guides). Claims must be: specific, substantiated, and not misleading. Bilingual labeling: ALL consumer products sold in Canada must have: English AND French labeling. Packaging text, product descriptions, and marketing materials must be bilingual. HST/GST: Canadian sales tax (5% federal GST + 0–10% provincial HST/PST). Sellers shipping to Canada from the US must: register for GST/HST if annual Canadian revenue exceeds CAD $30,000.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Distribution strategy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FROM US: for B2B orders: ship directly from US warehouse to Canadian race venues via: UPS, FedEx, or Canada Post (USPS hands off to Canada Post at the border). Customs: duty rate for compostable garments entering Canada from the US may be 0% under USMCA (United States-Mexico-Canada Agreement) if rules of origin are met. Verify: with a customs broker. DTC: Shopify supports: automatic Canadian shipping rate calculation, automatic currency conversion (CAD), and customs declaration generation. Amazon: sell on Amazon.ca (Canadian marketplace). FBA: ship inventory to Amazon Canada FBA warehouses (Amazon handles customs clearance for FBA inbound shipments).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12–13: research Canadian race directors at 5 target races (Ottawa, Toronto, Vancouver, Montreal, Calgary). Verify: ASTM D6400 meets CAN/BNQ 0017-088 (contact CSA or testing lab). Create: bilingual packaging design (English + French text on card/sleeve). Month 13–14: outreach to 5 Canadian race directors with: sample kits, US pilot case study, and Canadian-specific pricing. Set up: Amazon.ca listing (leverage existing US Amazon content with CAD pricing). Add: Canadian shipping rates to Shopify. Month 14–18: close 1–2 Canadian B2B pilot races. Execute: same pilot process as US (P5B) with: composting facility coordination in the Canadian city (Canadian cities have strong municipal composting infrastructure).</w:t>
            </w:r>
          </w:p>
        </w:tc>
      </w:tr>
    </w:tbl>
    <w:p>
      <w:r>
        <w:br w:type="page"/>
      </w:r>
    </w:p>
    <w:p>
      <w:pPr>
        <w:pStyle w:val="Heading1"/>
        <w:spacing w:before="360" w:after="200"/>
      </w:pPr>
      <w:r>
        <w:rPr>
          <w:rFonts w:ascii="Arial" w:cs="Arial" w:eastAsia="Arial" w:hAnsi="Arial"/>
        </w:rPr>
        <w:t xml:space="preserve">6. International Pricing Model</w:t>
      </w:r>
    </w:p>
    <w:p>
      <w:pPr>
        <w:spacing w:after="160"/>
      </w:pPr>
      <w:r>
        <w:rPr>
          <w:rFonts w:ascii="Arial" w:cs="Arial" w:eastAsia="Arial" w:hAnsi="Arial"/>
          <w:b/>
          <w:bCs/>
          <w:i w:val="false"/>
          <w:iCs w:val="false"/>
          <w:color w:val="000000"/>
          <w:sz w:val="22"/>
          <w:szCs w:val="22"/>
        </w:rPr>
        <w:t xml:space="preserve">International pricing must balance: cost recovery (the product costs MORE to deliver internationally than domestically), competitive positioning (the price must be attractive vs. local alternatives), and psychological anchoring (prices must feel “right” in local currency). </w:t>
      </w:r>
      <w:r>
        <w:rPr>
          <w:rFonts w:ascii="Arial" w:cs="Arial" w:eastAsia="Arial" w:hAnsi="Arial"/>
          <w:b w:val="false"/>
          <w:bCs w:val="false"/>
          <w:i w:val="false"/>
          <w:iCs w:val="false"/>
          <w:color w:val="000000"/>
          <w:sz w:val="22"/>
          <w:szCs w:val="22"/>
        </w:rPr>
        <w:t xml:space="preserve">The model below builds international pricing from: US COGS + incremental international costs + margin target, then adjusts for: local currency, VAT inclusion, and competitive dynamics.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Base product cost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 landed COGS per unit (per P8A Section 3 unit economics model). This is the STARTING POINT for international pricing. Example: $1.10/unit landed in the 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International freight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Additional shipping cost per unit from: US warehouse to international destination (for US-stocked inventory), OR from Parkside UK to international destination (for UK-produced goods shipped directly). US to EU: $0.30–$0.60/unit (ocean freight to EU 3PL). US to Canada: $0.15–$0.30/unit (ground freight). UK to EU: $0.10–$0.25/unit (short-distance truck or ferry freight — the LOWEST international shipping cost due to proximity).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Import duties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EU: 0–3.4% if shipped from UK under Trade and Cooperation Agreement (verify rules of origin compliance). 3.4–12% if shipped from US (varies by HTS classification and EU tariff schedule). Canada: 0% under USMCA if rules of origin met. Japan: 5–10% (varies by classification). STRATEGY: produce at Parkside UK and ship to EU for: 0% duty + lowest freight cost. Ship from US to Canada for: 0% duty under USMCA.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Currency adjustment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Price in LOCAL CURRENCY (EUR for EU, CAD for Canada, GBP for UK, JPY for Japan). Set prices at: psychologically attractive price points in local currency (e.g., €9.99 not €10.47). Build in: a 5–10% currency buffer to absorb exchange rate fluctuations without repricing (e.g., if the USD/EUR rate moves ±5%: the brand absorbs the variation within the buffer rather than changing the listed price monthly).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VAT/GST inclusion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EU: prices MUST include VAT (the listed price is the total price the consumer pays). Standard VAT rates: Germany 19%, France 20%, Netherlands 21%, UK 20%, Denmark 25%. Example: US price $9.99 = €9.99 including 20% VAT = €8.33 net revenue to the brand + €1.66 VAT remitted to tax authority. Canada: GST/HST may be: excluded from listed price (Canadian convention for online sales, added at checkout) or included (Quebec requires tax-inclusive pricing for advertising).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International B2B pricing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Apply the same MARGIN TARGET as US B2B (51–69% per P8A Section 3) but adjust the COST BASE: international cost = US COGS + international freight + duty + currency buffer. Example: US COGS $1.10 + UK-to-EU freight $0.15 + duty $0 (TCA) + 7% currency buffer $0.09 = €1.34 international cost. At 60% margin target: B2B price = €1.34 / (1 − 0.60) = €3.35. COMPARE: to local alternatives (EU Heatsheets pricing, local disposable blanket pricing) to ensure: the price is competitive in the local market.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DTC pricing strategy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Price MATCH the US DTC price in local currency: if US $9.99 = EU €9.99 = UK £8.99 = CAD $13.99. The slight premium in local currency (reflecting the exchange rate) is: expected by consumers (US-imported products typically cost 5–15% more in EU/Canada), justified by: the sustainability premium and lack of local alternatives, and absorbed by: rounding to psychologically attractive price points. Amazon international pricing: set per marketplace (Amazon.de, Amazon.co.uk, Amazon.ca, Amazon.fr) at the local-currency equivalent.</w:t>
            </w:r>
          </w:p>
        </w:tc>
      </w:tr>
    </w:tbl>
    <w:p>
      <w:pPr>
        <w:spacing w:before="200"/>
      </w:pPr>
    </w:p>
    <w:p>
      <w:pPr>
        <w:pStyle w:val="Heading2"/>
        <w:spacing w:before="280" w:after="160"/>
      </w:pPr>
      <w:r>
        <w:rPr>
          <w:rFonts w:ascii="Arial" w:cs="Arial" w:eastAsia="Arial" w:hAnsi="Arial"/>
        </w:rPr>
        <w:t xml:space="preserve">6.1 International Pricing Summary</w:t>
      </w:r>
    </w:p>
    <w:p>
      <w:pPr>
        <w:spacing w:after="160"/>
      </w:pPr>
      <w:r>
        <w:rPr>
          <w:rFonts w:ascii="Arial" w:cs="Arial" w:eastAsia="Arial" w:hAnsi="Arial"/>
          <w:b w:val="false"/>
          <w:bCs w:val="false"/>
          <w:i w:val="false"/>
          <w:iCs w:val="false"/>
          <w:color w:val="000000"/>
          <w:sz w:val="22"/>
          <w:szCs w:val="22"/>
        </w:rPr>
        <w:t xml:space="preserve">DTC PRICING: US $9.99 = EU €9.99 (incl. VAT) = UK £8.99 (incl. VAT) = CAD $13.99. 3-Pack: US $24.99 = EU €24.99 = UK £21.99 = CAD $34.99. B2B PRICING: EU €3.00–€4.50/unit (comparable to US $3.50–$5.00, adjusted for: local freight + duty + currency). Canada: CAD $4.50–$6.50/unit. The MARGIN on international sales is: 5–15% lower than US sales due to: additional freight, duty (for non-UK-to-EU routes), and currency buffer. This is acceptable if: international volume contributes to total production volume (driving down per-unit COGS across ALL markets) and the brand captures: the first-mover advantage in compostable race-day products internationally (before a European competitor launches).</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MONTH 10–12: Research EU and Canadian markets (Sections 1 and 5). Verify: EN 13432 certification status (obtain if not already done). Create: bilingual packaging for Canada (English + French). Research: EU packaging regulations (PPWR compliance requirements). Identify: 10–15 European race director contacts for initial outreach.</w:t>
      </w:r>
    </w:p>
    <w:p>
      <w:pPr>
        <w:spacing w:after="160"/>
      </w:pPr>
      <w:r>
        <w:rPr>
          <w:rFonts w:ascii="Arial" w:cs="Arial" w:eastAsia="Arial" w:hAnsi="Arial"/>
          <w:b/>
          <w:bCs/>
          <w:i w:val="false"/>
          <w:iCs w:val="false"/>
          <w:color w:val="000000"/>
          <w:sz w:val="22"/>
          <w:szCs w:val="22"/>
        </w:rPr>
        <w:t xml:space="preserve">MONTH 12–14: Begin outreach to European race directors (Section 4). Ship sample kits to 5–10 prospects. Set up: Amazon.ca listing, Shopify international shipping for Canada. Begin outreach to 5 Canadian race directors. Research: EU 3PL options (Hive, byrd, Amazon FBA Europe) for Year 2–3 DTC.</w:t>
      </w:r>
    </w:p>
    <w:p>
      <w:pPr>
        <w:spacing w:after="160"/>
      </w:pPr>
      <w:r>
        <w:rPr>
          <w:rFonts w:ascii="Arial" w:cs="Arial" w:eastAsia="Arial" w:hAnsi="Arial"/>
          <w:b/>
          <w:bCs/>
          <w:i w:val="false"/>
          <w:iCs w:val="false"/>
          <w:color w:val="000000"/>
          <w:sz w:val="22"/>
          <w:szCs w:val="22"/>
        </w:rPr>
        <w:t xml:space="preserve">MONTH 14–18: Close 1–2 European pilot races (target: London + Amsterdam or Berlin). Close 1–2 Canadian pilot races (target: Ottawa or Toronto). Execute: EU/Canadian pilots using same process as US (P5B). Produce: EU-compliant packaging with EN 13432 marking + bilingual labeling. Evaluate: EU distribution options for Year 3 scaling. Attend: TRE EU or European running industry event (if budget allows).</w:t>
      </w:r>
    </w:p>
    <w:p>
      <w:pPr>
        <w:spacing w:after="160"/>
      </w:pPr>
      <w:r>
        <w:rPr>
          <w:rFonts w:ascii="Arial" w:cs="Arial" w:eastAsia="Arial" w:hAnsi="Arial"/>
          <w:b w:val="false"/>
          <w:bCs w:val="false"/>
          <w:i w:val="false"/>
          <w:iCs w:val="false"/>
          <w:color w:val="000000"/>
          <w:sz w:val="22"/>
          <w:szCs w:val="22"/>
        </w:rPr>
        <w:t xml:space="preserve">BUDGET: EN 13432 certification (if not already obtained): $2,000–$5,000. Bilingual packaging design: $200–$500. International sample kit shipping (10–15 kits × $15–30 each): $150–$450. EU trade event attendance (Year 2, no booth): $1,000–$1,500 (registration + travel). EU 3PL setup (Year 2–3): $200–$500 onboarding. Translation services (5–10 documents): $250–$750. Amazon.ca setup: $0 (leverage existing US seller account). EPR registration (per EU country, Year 2–3): $500–$2,000/country. TOTAL P10C Year 2: $4,300–$10,700.</w:t>
      </w:r>
    </w:p>
    <w:p>
      <w:r>
        <w:br w:type="page"/>
      </w:r>
    </w:p>
    <w:p>
      <w:pPr>
        <w:pStyle w:val="Heading1"/>
        <w:spacing w:before="360" w:after="200"/>
      </w:pPr>
      <w:r>
        <w:rPr>
          <w:rFonts w:ascii="Arial" w:cs="Arial" w:eastAsia="Arial" w:hAnsi="Arial"/>
        </w:rPr>
        <w:t xml:space="preserve">8. Conclusion: Go Global Before the Competition Does</w:t>
      </w:r>
    </w:p>
    <w:p>
      <w:pPr>
        <w:spacing w:after="160"/>
      </w:pPr>
      <w:r>
        <w:rPr>
          <w:rFonts w:ascii="Arial" w:cs="Arial" w:eastAsia="Arial" w:hAnsi="Arial"/>
          <w:b/>
          <w:bCs/>
          <w:i w:val="false"/>
          <w:iCs w:val="false"/>
          <w:color w:val="000000"/>
          <w:sz w:val="22"/>
          <w:szCs w:val="22"/>
        </w:rPr>
        <w:t xml:space="preserve">The compostable race poncho category does not yet exist internationally. </w:t>
      </w:r>
      <w:r>
        <w:rPr>
          <w:rFonts w:ascii="Arial" w:cs="Arial" w:eastAsia="Arial" w:hAnsi="Arial"/>
          <w:b w:val="false"/>
          <w:bCs w:val="false"/>
          <w:i w:val="false"/>
          <w:iCs w:val="false"/>
          <w:color w:val="000000"/>
          <w:sz w:val="22"/>
          <w:szCs w:val="22"/>
        </w:rPr>
        <w:t xml:space="preserve">European and Canadian race directors are distributing the same garbage bags, donated clothing, and Heatsheets Mylar blankets as US races. NO international competitor has: BPI + EN 13432 dual certification, a composting logistics model, or an established B2B sales engine. The brand that enters Europe and Canada FIRST with: a certified product, a proven composting model, and US case study data will DEFINE the category internationally — just as it is defining the category in the US.</w:t>
      </w:r>
    </w:p>
    <w:p>
      <w:pPr>
        <w:spacing w:after="160"/>
      </w:pPr>
      <w:r>
        <w:rPr>
          <w:rFonts w:ascii="Arial" w:cs="Arial" w:eastAsia="Arial" w:hAnsi="Arial"/>
          <w:b/>
          <w:bCs/>
          <w:i w:val="false"/>
          <w:iCs w:val="false"/>
          <w:color w:val="000000"/>
          <w:sz w:val="22"/>
          <w:szCs w:val="22"/>
        </w:rPr>
        <w:t xml:space="preserve">The UK supplier advantage is the strategic enabler. </w:t>
      </w:r>
      <w:r>
        <w:rPr>
          <w:rFonts w:ascii="Arial" w:cs="Arial" w:eastAsia="Arial" w:hAnsi="Arial"/>
          <w:b w:val="false"/>
          <w:bCs w:val="false"/>
          <w:i w:val="false"/>
          <w:iCs w:val="false"/>
          <w:color w:val="000000"/>
          <w:sz w:val="22"/>
          <w:szCs w:val="22"/>
        </w:rPr>
        <w:t xml:space="preserve">Parkside UK can produce and ship to: UK races domestically (zero customs), EU races with 0% tariff under the Trade and Cooperation Agreement, and US races via ocean freight (the current model). This single-supplier, tri-market production capability means: the brand can serve the US, UK, and EU from ONE production source. No international startup can match this operational simplicity. The supply chain was designed for international expansion from Day 1. Now it’s time to activate it.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2026-04-02T03:45:20.740Z</dcterms:created>
  <dcterms:modified xsi:type="dcterms:W3CDTF">2026-04-02T03:45:20.741Z</dcterms:modified>
</cp:coreProperties>
</file>

<file path=docProps/custom.xml><?xml version="1.0" encoding="utf-8"?>
<Properties xmlns="http://schemas.openxmlformats.org/officeDocument/2006/custom-properties" xmlns:vt="http://schemas.openxmlformats.org/officeDocument/2006/docPropsVTypes"/>
</file>