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B3A6B"/>
          <w:sz w:val="44"/>
          <w:szCs w:val="44"/>
        </w:rPr>
        <w:t xml:space="preserve">P10E: CATEGORY</w:t>
      </w:r>
    </w:p>
    <w:p>
      <w:pPr>
        <w:spacing w:after="200"/>
        <w:jc w:val="center"/>
      </w:pPr>
      <w:r>
        <w:rPr>
          <w:rFonts w:ascii="Arial" w:cs="Arial" w:eastAsia="Arial" w:hAnsi="Arial"/>
          <w:b/>
          <w:bCs/>
          <w:color w:val="1B3A6B"/>
          <w:sz w:val="44"/>
          <w:szCs w:val="44"/>
        </w:rPr>
        <w:t xml:space="preserve">LEADERSHIP</w:t>
      </w:r>
    </w:p>
    <w:p>
      <w:pPr>
        <w:pBdr>
          <w:bottom w:val="single" w:color="2E5090" w:sz="6" w:space="12"/>
        </w:pBdr>
        <w:spacing w:after="100"/>
        <w:jc w:val="center"/>
      </w:pPr>
      <w:r>
        <w:rPr>
          <w:rFonts w:ascii="Arial" w:cs="Arial" w:eastAsia="Arial" w:hAnsi="Arial"/>
          <w:color w:val="666666"/>
          <w:sz w:val="24"/>
          <w:szCs w:val="24"/>
        </w:rPr>
        <w:t xml:space="preserve">Sub-Project P10E  |  Scaling, Expansion &amp; Category Leadership  |  Months 10–18</w:t>
      </w:r>
    </w:p>
    <w:p>
      <w:pPr>
        <w:spacing w:before="400"/>
        <w:jc w:val="center"/>
      </w:pPr>
      <w:r>
        <w:rPr>
          <w:rFonts w:ascii="Arial" w:cs="Arial" w:eastAsia="Arial" w:hAnsi="Arial"/>
          <w:i/>
          <w:iCs/>
          <w:color w:val="888888"/>
          <w:sz w:val="22"/>
          <w:szCs w:val="22"/>
        </w:rPr>
        <w:t xml:space="preserve">Complete Category Leadership Strategy: Annual Start-Line Waste Report, Innovation Award Submissions, Industry Speaking Program, Advisory Board Development, Sustainability Partner Certification Program, and Lifecycle Assessment Commission</w:t>
      </w:r>
    </w:p>
    <w:p>
      <w:pPr>
        <w:spacing w:before="600"/>
        <w:jc w:val="center"/>
      </w:pPr>
      <w:r>
        <w:rPr>
          <w:rFonts w:ascii="Arial" w:cs="Arial" w:eastAsia="Arial" w:hAnsi="Arial"/>
          <w:color w:val="888888"/>
          <w:sz w:val="22"/>
          <w:szCs w:val="22"/>
        </w:rPr>
        <w:t xml:space="preserve">March 2026  |  Confidential</w:t>
      </w:r>
    </w:p>
    <w:p>
      <w:r>
        <w:br w:type="page"/>
      </w:r>
    </w:p>
    <w:p>
      <w:pPr>
        <w:pStyle w:val="Heading1"/>
        <w:spacing w:before="360" w:after="200"/>
      </w:pPr>
      <w:r>
        <w:rPr>
          <w:rFonts w:ascii="Arial" w:cs="Arial" w:eastAsia="Arial" w:hAnsi="Arial"/>
        </w:rPr>
        <w:t xml:space="preserve">Executive Summary</w:t>
      </w:r>
    </w:p>
    <w:p>
      <w:pPr>
        <w:spacing w:after="160"/>
      </w:pPr>
      <w:r>
        <w:rPr>
          <w:rFonts w:ascii="Arial" w:cs="Arial" w:eastAsia="Arial" w:hAnsi="Arial"/>
          <w:b/>
          <w:bCs/>
          <w:i w:val="false"/>
          <w:iCs w:val="false"/>
          <w:color w:val="000000"/>
          <w:sz w:val="22"/>
          <w:szCs w:val="22"/>
        </w:rPr>
        <w:t xml:space="preserve">Category leadership is the difference between: a company that SELLS a product and a company that DEFINES an industry. </w:t>
      </w:r>
      <w:r>
        <w:rPr>
          <w:rFonts w:ascii="Arial" w:cs="Arial" w:eastAsia="Arial" w:hAnsi="Arial"/>
          <w:b w:val="false"/>
          <w:bCs w:val="false"/>
          <w:i w:val="false"/>
          <w:iCs w:val="false"/>
          <w:color w:val="000000"/>
          <w:sz w:val="22"/>
          <w:szCs w:val="22"/>
        </w:rPr>
        <w:t xml:space="preserve">A compostable poncho company sells ponchos. A category leader: publishes the definitive annual report on race-day waste, wins innovation awards from the Green Sports Alliance, speaks at Running USA and TRE conferences, convenes an advisory board of race directors and sustainability experts, certifies race partners as “Sustainability Partners,” and commissions lifecycle assessments that provide the scientific evidence underpinning the entire category. These activities do not DIRECTLY sell ponchos. They create: the conditions in which poncho sales become inevitable.</w:t>
      </w:r>
    </w:p>
    <w:p>
      <w:pPr>
        <w:spacing w:after="160"/>
      </w:pPr>
      <w:r>
        <w:rPr>
          <w:rFonts w:ascii="Arial" w:cs="Arial" w:eastAsia="Arial" w:hAnsi="Arial"/>
          <w:b/>
          <w:bCs/>
          <w:i w:val="false"/>
          <w:iCs w:val="false"/>
          <w:color w:val="000000"/>
          <w:sz w:val="22"/>
          <w:szCs w:val="22"/>
        </w:rPr>
        <w:t xml:space="preserve">This document builds 6 category-leadership assets: </w:t>
      </w:r>
      <w:r>
        <w:rPr>
          <w:rFonts w:ascii="Arial" w:cs="Arial" w:eastAsia="Arial" w:hAnsi="Arial"/>
          <w:b w:val="false"/>
          <w:bCs w:val="false"/>
          <w:i w:val="false"/>
          <w:iCs w:val="false"/>
          <w:color w:val="000000"/>
          <w:sz w:val="22"/>
          <w:szCs w:val="22"/>
        </w:rPr>
        <w:t xml:space="preserve">(1) an annual “State of Start-Line Waste” report establishing the brand as the industry’s data authority, (2) innovation award submissions targeting 5 prestigious recognitions, (3) an industry speaking program across conferences, panels, and podcasts, (4) a 3–4 person advisory board providing strategic guidance, network access, and credibility, (5) a “Sustainability Partner” certification program transforming the brand’s product into the race director’s credential, and (6) a lifecycle assessment providing the definitive scientific comparison of the poncho vs. garbage bags vs. Mylar blankets.</w:t>
      </w:r>
    </w:p>
    <w:p>
      <w:r>
        <w:br w:type="page"/>
      </w:r>
    </w:p>
    <w:p>
      <w:pPr>
        <w:pStyle w:val="Heading1"/>
        <w:spacing w:before="360" w:after="200"/>
      </w:pPr>
      <w:r>
        <w:rPr>
          <w:rFonts w:ascii="Arial" w:cs="Arial" w:eastAsia="Arial" w:hAnsi="Arial"/>
        </w:rPr>
        <w:t xml:space="preserve">1. Annual “State of Start-Line Waste” Report</w:t>
      </w:r>
    </w:p>
    <w:p>
      <w:pPr>
        <w:spacing w:after="160"/>
      </w:pPr>
      <w:r>
        <w:rPr>
          <w:rFonts w:ascii="Arial" w:cs="Arial" w:eastAsia="Arial" w:hAnsi="Arial"/>
          <w:b/>
          <w:bCs/>
          <w:i w:val="false"/>
          <w:iCs w:val="false"/>
          <w:color w:val="000000"/>
          <w:sz w:val="22"/>
          <w:szCs w:val="22"/>
        </w:rPr>
        <w:t xml:space="preserve">The annual waste report is the brand’s most powerful thought-leadership asset. </w:t>
      </w:r>
      <w:r>
        <w:rPr>
          <w:rFonts w:ascii="Arial" w:cs="Arial" w:eastAsia="Arial" w:hAnsi="Arial"/>
          <w:b w:val="false"/>
          <w:bCs w:val="false"/>
          <w:i w:val="false"/>
          <w:iCs w:val="false"/>
          <w:color w:val="000000"/>
          <w:sz w:val="22"/>
          <w:szCs w:val="22"/>
        </w:rPr>
        <w:t xml:space="preserve">NOBODY else is publishing: quantified data on start-line waste at US marathons. The brand that publishes this data FIRST owns the narrative. When Runner’s World writes about race-day sustainability: they cite our report. When a race director presents sustainability plans to their board: they reference our data. When a sponsor evaluates sustainability partnerships: they use our framework. The report is not marketing — it is INFRASTRUCTURE for the entire category.</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7200"/>
      </w:tblGrid>
      <w:tr>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Element</w:t>
            </w:r>
          </w:p>
        </w:tc>
        <w:tc>
          <w:tcPr>
            <w:tcW w:type="dxa" w:w="7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Specification</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Title</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“The State of Start-Line Waste: Annual Report on Single-Use Products at US Marathon Events”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Purpose</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Establish the brand as the DEFINITIVE SOURCE of data on race-day waste. When a journalist writes about marathon sustainability, when a race director presents to their board about environmental impact, when a sponsor evaluates sustainability partnerships — they cite THIS report. The report transforms the brand from: a product company into an INDUSTRY AUTHORITY on race-day sustainability.</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Content structure</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SECTION 1: Executive summary (1 page: key findings, year-over-year trends). SECTION 2: Methodology (how data was collected: pilot race composting data, race director surveys, publicly available race sustainability reports, EPA waste data, and brand sales data as a proxy for garbage-bag displacement). SECTION 3: Start-line waste by race size (small &lt;5K runners, medium 5K–20K, large 20K–50K: estimated garbage bags, clothing, and Mylar blankets per race). SECTION 4: Material analysis (LDPE garbage bags: weight, decomposition timeline, microplastic generation; donated clothing: textile waste volume, processing pathways; Mylar blankets: material composition, end-of-life options). SECTION 5: Composting infrastructure availability (map of US cities with commercial composting facilities accepting event waste, per P4D Section 1). SECTION 6: Solutions and alternatives (compostable ponchos: the brand’s data from pilot races, wraps, and emerging alternatives; old clothing donation programs: volume and effectiveness; race director best practices). SECTION 7: Recommendations (for race directors, sponsors, runners, and policymakers). SECTION 8: Year-over-year comparison (Year 2+: compare data to prior years to show trends).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Data sources</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PRIMARY: the brand’s own pilot race composting data (weight collected, weight composted, collection rate, runner count per P4D Section 4 and P5B Section 4). SECONDARY: publicly available race sustainability reports (NYC Marathon, Chicago Marathon, Boston Marathon — many publish annual sustainability data), EPA municipal solid waste data on plastic film and textiles, academic research on LDPE environmental impact and microplastic generation, and survey data from race directors in the brand’s B2B network (anonymous, aggregated). LIMITATIONS: clearly state that the brand’s own data is limited to pilot races and may not be representative of all US marathons. The report is an ESTIMATE based on: available data + reasonable extrapolation. Transparency about limitations INCREASES credibility (per P9C environmental claims transparency principles).</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Design and distribution</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DESIGN: 20–30 page PDF designed per P1B visual identity. Professional but not overproduced: data visualizations (charts, maps, infographics), race-day photographs, and clear, readable text. Include: the brand’s logo and sponsorship of the report on every page but avoid: making the report feel like a sales document. The report’s credibility depends on: data quality and perceived objectivity, not brand promotion. DISTRIBUTION: publish on brand.com/waste-report (gated: email required for download — lead generation). Email to: all B2B contacts, media list (P7C), GSA members, Running USA, and RRCA. Share: on social media with UTM links. Pitch: to media as a data source (“Our annual waste report found that US marathons generate an estimated [X] lbs of start-line waste per year”). Present: at industry events (Section 3 of this document). Timing: publish annually in January (start-of-year timing, before spring race planning).</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Year 1 report feasibility</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Year 1 data is LIMITED (3–8 pilot races at most). The first report will be: smaller in scope (10–15 pages instead of 20–30), heavier on: secondary data and estimates (EPA data, extrapolations from pilot race composting), and positioned as: “a first look at a problem nobody has quantified before.” The NOVELTY of the report — nobody else is publishing this data — compensates for: the limited sample size. By Year 2–3: the report’s data foundation grows (more pilot races, more B2B customer data, more composting reports), and the report becomes: the authoritative annual publication on race-day sustainability.</w:t>
            </w:r>
          </w:p>
        </w:tc>
      </w:tr>
    </w:tbl>
    <w:p>
      <w:r>
        <w:br w:type="page"/>
      </w:r>
    </w:p>
    <w:p>
      <w:pPr>
        <w:pStyle w:val="Heading1"/>
        <w:spacing w:before="360" w:after="200"/>
      </w:pPr>
      <w:r>
        <w:rPr>
          <w:rFonts w:ascii="Arial" w:cs="Arial" w:eastAsia="Arial" w:hAnsi="Arial"/>
        </w:rPr>
        <w:t xml:space="preserve">2. Innovation Award Submissions: 5 Targets</w:t>
      </w:r>
    </w:p>
    <w:p>
      <w:pPr>
        <w:spacing w:after="160"/>
      </w:pPr>
      <w:r>
        <w:rPr>
          <w:rFonts w:ascii="Arial" w:cs="Arial" w:eastAsia="Arial" w:hAnsi="Arial"/>
          <w:b/>
          <w:bCs/>
          <w:i w:val="false"/>
          <w:iCs w:val="false"/>
          <w:color w:val="000000"/>
          <w:sz w:val="22"/>
          <w:szCs w:val="22"/>
        </w:rPr>
        <w:t xml:space="preserve">Awards provide: third-party validation that is more credible than any self-promotion. </w:t>
      </w:r>
      <w:r>
        <w:rPr>
          <w:rFonts w:ascii="Arial" w:cs="Arial" w:eastAsia="Arial" w:hAnsi="Arial"/>
          <w:b w:val="false"/>
          <w:bCs w:val="false"/>
          <w:i w:val="false"/>
          <w:iCs w:val="false"/>
          <w:color w:val="000000"/>
          <w:sz w:val="22"/>
          <w:szCs w:val="22"/>
        </w:rPr>
        <w:t xml:space="preserve">An “Outside Gear of the Year” badge on the Amazon listing converts 3–5× better than any product photo. A “GSA Innovation Award” mention in a B2B pitch deck closes deals that a slide of pilot data alone cannot. Awards are the CHEAPEST marketing investment with the LONGEST shelf life: the badge works forever.</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000"/>
      </w:tblGrid>
      <w:tr>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Award</w:t>
            </w:r>
          </w:p>
        </w:tc>
        <w:tc>
          <w:tcPr>
            <w:tcW w:type="dxa" w:w="4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Submission Strategy</w:t>
            </w:r>
          </w:p>
        </w:tc>
        <w:tc>
          <w:tcPr>
            <w:tcW w:type="dxa" w:w="3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Impact</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Green Sports Alliance Innovation Award</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Submit by: Q1–Q2 (typical submission window). Application: describe the innovation (compostable poncho + composting logistics model), provide pilot data (composting weight, collection rate, runner satisfaction), and explain the environmental impact (garbage bags displaced, LDPE avoided). STRENGTH: the poncho is a genuinely novel product in the sports sustainability space. ATTACH: pilot case study, BPI certification, composting verification report, and any press coverage.</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 GSA Innovation Award win provides: press release from GSA, trophy/badge for marketing, recognition at GSA annual summit (presentation opportunity), and credibility with every race director and sponsor who follows GSA.</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Running USA Industry Award</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Submit for: Running USA Conference (February–March). Running USA’s awards recognize: innovation in the running industry, race operations excellence, and industry leadership. PITCH: the poncho as a running industry innovation that: creates a new product category (compostable race-day warmth), solves a longstanding problem (start-line waste), and provides a composting SERVICE model (not just a product).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Running USA Conference is attended by: 300–500 race directors, series operators, and industry professionals. An award here = immediate B2B pipeline acceleration (every attendee sees the winner).</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Outside Best Gear / Gear of the Year</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Submit mid-year for next year’s publication. Send: product samples, press release, and a compelling pitch (“The first compostable warmth poncho for marathon start lines”). Outside’s gear testing team evaluates: products that are innovative, sustainable, and functional. The poncho checks all three boxes.</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An Outside Gear of the Year badge is the ultimate DTC conversion tool. The badge on: the product page, Amazon listing, packaging, and advertising communicates: “a leading outdoor publication’s experts chose this as one of the best products of the year.”</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Fast Company World Changing Ideas</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Apply October–December for next year’s publication. Fast Company evaluates: products and business models that make the world better. Submit under: sustainability, consumer products, or sports/wellness categories. PITCH: the SYSTEM (compostable product + composting logistics + composting verification) not just the product. Fast Company rewards: systemic thinking, not just product innovation.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Fast Company reaches: business leaders, investors, and innovators beyond the running niche. A mention generates: national awareness, investor inbound, and mainstream consumer interest. This is the BREAK-OUT-OF-THE-NICHE award.</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B Corp Best for the World</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After B Corp certification (Year 2–3 per P9E Section 3): eligible for B Corp’s annual “Best for the World” recognition, awarded to B Corps scoring in the top 5% for: overall impact, environment, community, workers, governance, or customers. The brand’s environmental score is likely to be: among the highest in the B Corp community (compostable product, composting logistics, 1% for the Planet, waste diversion data).</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Best for the World recognition reaches: the entire B Corp network (7,000+ companies), impact investors, and sustainability-focused media. It is the MOST EXCLUSIVE sustainability recognition available.</w:t>
            </w:r>
          </w:p>
        </w:tc>
      </w:tr>
    </w:tbl>
    <w:p>
      <w:r>
        <w:br w:type="page"/>
      </w:r>
    </w:p>
    <w:p>
      <w:pPr>
        <w:pStyle w:val="Heading1"/>
        <w:spacing w:before="360" w:after="200"/>
      </w:pPr>
      <w:r>
        <w:rPr>
          <w:rFonts w:ascii="Arial" w:cs="Arial" w:eastAsia="Arial" w:hAnsi="Arial"/>
        </w:rPr>
        <w:t xml:space="preserve">3. Industry Speaking Program</w:t>
      </w:r>
    </w:p>
    <w:p>
      <w:pPr>
        <w:spacing w:after="160"/>
      </w:pPr>
      <w:r>
        <w:rPr>
          <w:rFonts w:ascii="Arial" w:cs="Arial" w:eastAsia="Arial" w:hAnsi="Arial"/>
          <w:b/>
          <w:bCs/>
          <w:i w:val="false"/>
          <w:iCs w:val="false"/>
          <w:color w:val="000000"/>
          <w:sz w:val="22"/>
          <w:szCs w:val="22"/>
        </w:rPr>
        <w:t xml:space="preserve">Speaking positions the FOUNDER as a thought leader and the BRAND as the category authority. </w:t>
      </w:r>
      <w:r>
        <w:rPr>
          <w:rFonts w:ascii="Arial" w:cs="Arial" w:eastAsia="Arial" w:hAnsi="Arial"/>
          <w:b w:val="false"/>
          <w:bCs w:val="false"/>
          <w:i w:val="false"/>
          <w:iCs w:val="false"/>
          <w:color w:val="000000"/>
          <w:sz w:val="22"/>
          <w:szCs w:val="22"/>
        </w:rPr>
        <w:t xml:space="preserve">A founder who stands on stage at Running USA and presents: data-driven insights on start-line waste, composting case studies from pilot races, and a scalable model for zero-waste race events is not: selling ponchos. They are: DEFINING HOW THE INDUSTRY THINKS about race-day sustainability. The sales happen after the presentation when: 10–20 race directors approach the founder in the hallway asking “how do we start?”</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000"/>
      </w:tblGrid>
      <w:tr>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Venue</w:t>
            </w:r>
          </w:p>
        </w:tc>
        <w:tc>
          <w:tcPr>
            <w:tcW w:type="dxa" w:w="4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Strategy</w:t>
            </w:r>
          </w:p>
        </w:tc>
        <w:tc>
          <w:tcPr>
            <w:tcW w:type="dxa" w:w="3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Value</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Running USA Conference</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February–March annually. Audience: 300–500 race directors, industry professionals. SUBMIT: a speaking proposal 3–4 months before the conference. TOPIC: “Eliminating Start-Line Waste: A Case Study in Compostable Race-Day Products.” Format: 30–45 minute presentation + Q&amp;A. Content: the problem (waste data from the annual report), the solution (compostable poncho + composting logistics), the results (pilot race data: weight composted, runner satisfaction, race director feedback), and the scalable model (how any race can implement compostable start-line products).</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Speaking at Running USA is the HIGHEST-VALUE B2B marketing activity in the running industry. 30–45 minutes on stage in front of 300–500 race directors generates: 10–20 B2B conversations in the 48 hours after the presentation, industry thought-leader positioning, and content for: the website (“As presented at Running USA Conference”), social media, and B2B pitch deck.</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Green Sports Alliance Summit</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Fall annually. Audience: sports sustainability professionals, team/venue operators, brand partners. SUBMIT: a speaking proposal 2–3 months before the summit. TOPIC: “Circular Economy at the Start Line: How Compostable Products and Composting Logistics Create Zero-Waste Athletic Events.” Co-present: with a race director partner (the race director validates the data and provides the practitioner perspective).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GSA Summit reaches: sustainability decision-makers at sports organizations + potential sponsors. A co-presentation with a race director is MORE CREDIBLE than a solo brand presentation (the race director is a peer, not a vendor).</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The Running Event (TRE)</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November–December annually. The largest running industry trade show. Audience: race directors, brand representatives, technology companies. SUBMIT: a speaking proposal or apply for an exhibitor presentation slot. TOPIC: adapt the Running USA presentation with updated data. TRE combines: a trade show (booth opportunity per P5D) with educational sessions (speaking opportunity).</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TRE combines: SELLING (expo booth) with EDUCATING (speaking session). A founder who: speaks on stage about race-day sustainability at 2 PM and then sells ponchos at the booth at 3 PM maximizes: both thought-leadership positioning and direct B2B lead generation.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Local sustainability panels</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City-level sustainability events, green business forums, Earth Day panels, and university sustainability programs. APPROACH: volunteer as a panelist or presenter on: “Sustainable Innovation in Consumer Products” or “Circular Economy Case Studies.” These are: easier to get on than national conferences (fewer applicants), local media may cover the event (local PR per P7C Section 4), and they build: the founder’s personal brand as a sustainability thought leader in their home city.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Local speaking builds: the founder’s PERSONAL brand (which drives: investor interest, advisory board recruitment, and media interview requests). A founder who is known locally as “the compostable poncho founder who speaks at sustainability events” attracts: opportunities that a faceless brand cannot.</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Podcast appearances</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TARGET: running podcasts (Marathon Training Academy, Run to the Top, The Running Explained Podcast, Ali on the Run, Another Mother Runner), sustainability podcasts (How to Save a Planet, Outrage + Optimism, The Sustainability Agenda), and startup/DTC podcasts (Indie Brand Builder, DTC Podcast, Shopify Masters). OUTREACH: email the podcast host with: a 3–4 sentence pitch (“I founded a compostable poncho that replaces garbage bags at marathon start lines — we’ve composted [X] lbs so far. Would love to share the story on your show.”), the brand’s press kit link, and a specific angle for their audience (running podcast: “what runners should know about start-line waste”; sustainability: “how we built a circular economy for athletic events”; DTC: “launching a physical product in a niche nobody knew existed”).</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Podcast appearances reach: highly engaged listeners (podcast listeners have 20–40 minute attention spans vs. 3-second social media scrolling). A single podcast episode generates: 1,000–50,000 listens (depending on the show), 2–4 weeks of long-tail traffic (episodes are evergreen), and credibility (“As heard on [Podcast Name]”). The founder’s STORY (garbage bags at start lines → compostable poncho → composting logistics) is inherently compelling for audio storytelling.</w:t>
            </w:r>
          </w:p>
        </w:tc>
      </w:tr>
    </w:tbl>
    <w:p>
      <w:r>
        <w:br w:type="page"/>
      </w:r>
    </w:p>
    <w:p>
      <w:pPr>
        <w:pStyle w:val="Heading1"/>
        <w:spacing w:before="360" w:after="200"/>
      </w:pPr>
      <w:r>
        <w:rPr>
          <w:rFonts w:ascii="Arial" w:cs="Arial" w:eastAsia="Arial" w:hAnsi="Arial"/>
        </w:rPr>
        <w:t xml:space="preserve">4. Advisory Board: 3–4 Experts</w:t>
      </w:r>
    </w:p>
    <w:p>
      <w:pPr>
        <w:spacing w:after="160"/>
      </w:pPr>
      <w:r>
        <w:rPr>
          <w:rFonts w:ascii="Arial" w:cs="Arial" w:eastAsia="Arial" w:hAnsi="Arial"/>
          <w:b/>
          <w:bCs/>
          <w:i w:val="false"/>
          <w:iCs w:val="false"/>
          <w:color w:val="000000"/>
          <w:sz w:val="22"/>
          <w:szCs w:val="22"/>
        </w:rPr>
        <w:t xml:space="preserve">A solo founder operating a complex DTC + B2B business with international supply chain, composting logistics, and sustainability certification cannot know everything. </w:t>
      </w:r>
      <w:r>
        <w:rPr>
          <w:rFonts w:ascii="Arial" w:cs="Arial" w:eastAsia="Arial" w:hAnsi="Arial"/>
          <w:b w:val="false"/>
          <w:bCs w:val="false"/>
          <w:i w:val="false"/>
          <w:iCs w:val="false"/>
          <w:color w:val="000000"/>
          <w:sz w:val="22"/>
          <w:szCs w:val="22"/>
        </w:rPr>
        <w:t xml:space="preserve">An advisory board fills the knowledge gaps: a race director advisor knows what race directors actually need, a sustainability expert knows which certifications and claims will matter in 2–3 years, and a DTC brand builder knows how to scale from $100K to $1M without breaking the operations. The advisor’s NETWORK is as valuable as their advice: one introduction to a major race series operator or an impact investor can be worth more than months of cold outreach.</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7200"/>
      </w:tblGrid>
      <w:tr>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Element</w:t>
            </w:r>
          </w:p>
        </w:tc>
        <w:tc>
          <w:tcPr>
            <w:tcW w:type="dxa" w:w="7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Specification</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Purpose</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An advisory board provides: strategic guidance (advisors bring expertise the founder lacks), network access (advisors introduce the brand to: race directors, investors, media contacts, and industry peers), credibility (an advisory board with recognizable names signals: serious intent and professional management), and accountability (regular advisor meetings force: structured strategic thinking and reporting). The advisory board is NOT a board of directors (no governance authority, no fiduciary duty, no equity requirement). It is: an informal group of 3–5 people who meet quarterly and provide: advice, introductions, and credibility.</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Composition</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RACE DIRECTOR ADVISOR (1–2 people): a current or former race director from a mid-to-large marathon who provides: insight into race operations, introductions to peer race directors, and validation of the B2B value proposition. Source: from the brand’s pilot race relationships (P5B) — a race director who had a successful pilot and is enthusiastic about the product. SUSTAINABILITY EXPERT (1 person): a professional in: composting, circular economy, or environmental policy who provides: credibility on sustainability claims, connections to environmental organizations, and guidance on B Corp, LCA, and carbon offset decisions. Source: from 1% for the Planet or GSA networks (P9E), academic connections, or local sustainability organizations. DTC BRAND BUILDER (1 person): a founder or executive who has: scaled a DTC consumer product brand from launch to $1M+ revenue. Provides: tactical advice on marketing, operations, fundraising, and team building. Source: local startup community, accelerator networks, or LinkedIn outreach to DTC founders in adjacent categories (outdoor gear, sustainable consumer products).</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Compensation</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MOST advisors accept: equity (0.25–0.5% of the company over a 2-year vesting schedule), advisory shares (common for startups seeking to raise capital), or recognition (listed on the website, mentioned in press releases, featured in the annual report). Some advisors may serve: pro bono (for the satisfaction of supporting a sustainability-focused startup). DO NOT: pay cash compensation to advisors in Year 1 (cash is scarce and should go to operations/marketing). If offering equity: use a STANDARD advisory agreement (available at: Clerky, Stripe Atlas, or from the brand’s attorney) with: clear vesting schedule, defined advisory scope, and mutual termination provisions.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Meeting cadence</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QUARTERLY: 1-hour video call (Zoom/Google Meet) with all advisors. AGENDA: (1) Founder update (15 min): key metrics, wins, challenges, decisions needed. (2) Advisor input (30 min): each advisor provides: perspective on their area of expertise, introductions they can make, and feedback on the founder’s planned actions. (3) Action items (15 min): specific next steps with owners and deadlines. BETWEEN MEETINGS: ad-hoc email/call access for: time-sensitive questions, introduction requests, and strategic sounding-board conversations. The quarterly cadence ensures: advisors stay engaged (monthly is too frequent for unpaid advisors; annually is too infrequent to be useful).</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Recruitment timeline</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Month 10–12: identify 5–7 advisory candidates across the 3 categories. Approach: with a personal email explaining the brand’s mission, Year 1 progress, and the specific value the candidate would bring. Month 12–14: conduct informal conversations with 3–5 interested candidates. Select: 3–4 advisors who bring: complementary expertise, genuine enthusiasm, and relevant networks. Formalize: with a simple advisory agreement (1–2 pages). Month 14+: hold first quarterly advisory meeting. Present: the Year 1 review and Year 2 plan. Begin leveraging: advisor introductions and expertise.</w:t>
            </w:r>
          </w:p>
        </w:tc>
      </w:tr>
    </w:tbl>
    <w:p>
      <w:r>
        <w:br w:type="page"/>
      </w:r>
    </w:p>
    <w:p>
      <w:pPr>
        <w:pStyle w:val="Heading1"/>
        <w:spacing w:before="360" w:after="200"/>
      </w:pPr>
      <w:r>
        <w:rPr>
          <w:rFonts w:ascii="Arial" w:cs="Arial" w:eastAsia="Arial" w:hAnsi="Arial"/>
        </w:rPr>
        <w:t xml:space="preserve">5. Sustainability Partner Certification Program</w:t>
      </w:r>
    </w:p>
    <w:p>
      <w:pPr>
        <w:spacing w:after="160"/>
      </w:pPr>
      <w:r>
        <w:rPr>
          <w:rFonts w:ascii="Arial" w:cs="Arial" w:eastAsia="Arial" w:hAnsi="Arial"/>
          <w:b/>
          <w:bCs/>
          <w:i w:val="false"/>
          <w:iCs w:val="false"/>
          <w:color w:val="000000"/>
          <w:sz w:val="22"/>
          <w:szCs w:val="22"/>
        </w:rPr>
        <w:t xml:space="preserve">The Sustainability Partner program flips the value proposition: instead of the brand asking race directors to BUY a product, </w:t>
      </w:r>
      <w:r>
        <w:rPr>
          <w:rFonts w:ascii="Arial" w:cs="Arial" w:eastAsia="Arial" w:hAnsi="Arial"/>
          <w:b w:val="false"/>
          <w:bCs w:val="false"/>
          <w:i w:val="false"/>
          <w:iCs w:val="false"/>
          <w:color w:val="000000"/>
          <w:sz w:val="22"/>
          <w:szCs w:val="22"/>
        </w:rPr>
        <w:t xml:space="preserve">the brand offers race directors a CREDENTIAL that they can use to: demonstrate sustainability commitment to sponsors, differentiate from competitors, and satisfy growing pressure from participants, communities, and environmental organizations for measurable environmental action. The race director’s motivation shifts from: “I’m buying ponchos” to “I’m earning a sustainability certification.” This reframing increases: reorder rates (the certification is annual — it must be re-earned), order volumes (the 50% minimum threshold encourages full adoption), and brand lock-in (switching away from the brand means LOSING the certification).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7200"/>
      </w:tblGrid>
      <w:tr>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Element</w:t>
            </w:r>
          </w:p>
        </w:tc>
        <w:tc>
          <w:tcPr>
            <w:tcW w:type="dxa" w:w="7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Specification</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Concept</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The “Sustainability Partner” designation is a co-branded certification badge that race directors receive when they: use the brand’s compostable ponchos at their event, participate in composting collection, and achieve a minimum collection rate (≥60% of ponchos collected for composting). The badge communicates: “This race is committed to eliminating start-line waste.” It is displayed on: the race’s website, registration page, marketing materials, and sponsor presentations.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Badge design</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 branded certification badge per P1B visual identity: circular or shield shape, Earth Green background, white text: “[BRAND] Sustainability Partner — Certified Zero-Waste Start Line — [Year].” Include: the brand logo (small) and a composting icon. The badge should look: official, credible, and prestigious — like a B Corp or 1% for the Planet logo. Design: in Canva or by a graphic designer ($100–$300). Provide: high-resolution files (PNG, SVG, EPS) to the race director for use on their website and materials.</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Qualification criteria</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MINIMUM requirements: (1) use the brand’s compostable ponchos for ≥50% of start-line warmth products distributed, (2) participate in composting collection (bins placed per P4D Section 3, volunteers assigned), (3) achieve ≥60% collection rate (measured by weight: ponchos collected ÷ ponchos distributed), and (4) complete a post-race composting verification (brand provides the report per P4D Section 4). ADVANCED tier (Year 2+): ≥ 80% collection rate + finish-line wraps (P10B Section 2) also composted + race publishes sustainability data in their own communications.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Value to race directors</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The badge gives race directors: a MARKETING ASSET (“We are a [BRAND] Certified Zero-Waste Start Line” in race marketing and sponsor presentations), SUSTAINABILITY CREDIBILITY (third-party verified composting data, not just self-declared “green” claims), SPONSOR APPEAL (sponsors seeking sustainability activations prefer: races with certified sustainability programs), and COMPETITIVE DIFFERENTIATION (vs. other races that still distribute garbage bags and Mylar blankets). The badge transforms: the brand’s PRODUCT into the race director’s CREDENTIAL.</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Program launch timeline</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Month 14–15: design the Sustainability Partner badge. Define: qualification criteria and verification process. Create: brand.com/partners page with program description, badge image, and application/inquiry form. Month 15–16: award the badge to: all pilot race directors who met the minimum criteria in Year 1. Send: the badge files, a congratulatory email, and a press release template (“[Race Name] Earns [BRAND] Sustainability Partner Certification”). Post: social media announcement featuring the first certified partners. ONGOING: award badges after each qualifying race. Maintain: a public directory of certified Sustainability Partners on brand.com/partners. Annual: review criteria and potentially add tiers (Silver/Gold/Platinum based on collection rate and product adoption).</w:t>
            </w:r>
          </w:p>
        </w:tc>
      </w:tr>
    </w:tbl>
    <w:p>
      <w:r>
        <w:br w:type="page"/>
      </w:r>
    </w:p>
    <w:p>
      <w:pPr>
        <w:pStyle w:val="Heading1"/>
        <w:spacing w:before="360" w:after="200"/>
      </w:pPr>
      <w:r>
        <w:rPr>
          <w:rFonts w:ascii="Arial" w:cs="Arial" w:eastAsia="Arial" w:hAnsi="Arial"/>
        </w:rPr>
        <w:t xml:space="preserve">6. Lifecycle Assessment (LCA)</w:t>
      </w:r>
    </w:p>
    <w:p>
      <w:pPr>
        <w:spacing w:after="160"/>
      </w:pPr>
      <w:r>
        <w:rPr>
          <w:rFonts w:ascii="Arial" w:cs="Arial" w:eastAsia="Arial" w:hAnsi="Arial"/>
          <w:b/>
          <w:bCs/>
          <w:i w:val="false"/>
          <w:iCs w:val="false"/>
          <w:color w:val="000000"/>
          <w:sz w:val="22"/>
          <w:szCs w:val="22"/>
        </w:rPr>
        <w:t xml:space="preserve">The LCA is the SCIENTIFIC FOUNDATION for every environmental claim the brand makes. </w:t>
      </w:r>
      <w:r>
        <w:rPr>
          <w:rFonts w:ascii="Arial" w:cs="Arial" w:eastAsia="Arial" w:hAnsi="Arial"/>
          <w:b w:val="false"/>
          <w:bCs w:val="false"/>
          <w:i w:val="false"/>
          <w:iCs w:val="false"/>
          <w:color w:val="000000"/>
          <w:sz w:val="22"/>
          <w:szCs w:val="22"/>
        </w:rPr>
        <w:t xml:space="preserve">BPI certification proves: the product composts. The LCA proves: the product is ENVIRONMENTALLY BETTER than the alternatives across its entire lifecycle. Without an LCA: environmental superiority is asserted. With an LCA: environmental superiority is DEMONSTRATED with peer-reviewable data. The LCA transforms: “our poncho is better for the environment” (marketing claim) into “our poncho produces 47% less CO₂e than an LDPE garbage bag over its lifecycle” (scientific fact).</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7200"/>
      </w:tblGrid>
      <w:tr>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Element</w:t>
            </w:r>
          </w:p>
        </w:tc>
        <w:tc>
          <w:tcPr>
            <w:tcW w:type="dxa" w:w="7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Specification</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What is an LCA</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 Lifecycle Assessment (LCA) is a systematic analysis of: the environmental impact of a product across its ENTIRE lifecycle: raw material extraction, manufacturing, transportation, use, and end-of-life (composting or landfill). An LCA quantifies: carbon footprint (kg CO₂e per unit), water usage, energy consumption, land use, toxicity, and other environmental indicators. An LCA comparing: the compostable poncho vs. an LDPE garbage bag vs. a Heatsheets Mylar blanket provides: the DEFINITIVE scientific evidence that the poncho is environmentally superior.</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Scope</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COMPARATIVE LCA: poncho vs. garbage bag vs. Mylar blanket across: raw material production (cellulose film vs. LDPE vs. PET/aluminum), manufacturing (lamination, printing, cutting vs. film extrusion), transportation (international freight to US vs. domestic production for garbage bags), use phase (identical: worn once, 30–60 minutes), and end-of-life (commercial composting vs. landfill for 500+ years vs. landfill/partial recycling). The comparison answers: “How much BETTER is the poncho than the alternatives?” in: quantifiable, peer-reviewable, scientifically defensible terms.</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Methodology</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Follow ISO 14040/14044 standards (the international standards for LCA). Use: an LCA software tool (OpenLCA with Ecoinvent database, SimaPro, or GaBi) or commission a consultancy. FUNCTIONAL UNIT: “1 warmth garment providing equivalent thermal comfort at a race start line for 1 runner for 30–60 minutes.” This ensures: the comparison is FAIR (all 3 products serve the same function). Impact categories: Global Warming Potential (GWP, kg CO₂e), Cumulative Energy Demand (MJ), Water Depletion (m³), and Acidification Potential (kg SO₂e) at minimum.</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Expected results</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HYPOTHESIS (based on general material science knowledge): the compostable poncho has: LOWER end-of-life impact (composts in 12–24 weeks vs. 500+ years in landfill for LDPE), COMPARABLE manufacturing impact (cellulose film production vs. LDPE film production have similar energy requirements), and POTENTIALLY HIGHER raw material impact (NatureFlex production may require more agricultural inputs than petroleum-based LDPE). NET: the poncho is likely ENVIRONMENTALLY SUPERIOR on: end-of-life (dramatically), carbon footprint (moderately, due to composting vs. landfill methane), and waste generation (dramatically). It may be: comparable or slightly higher on: manufacturing energy and raw material extraction. The LCA will QUANTIFY these trade-offs and enable: honest, specific environmental claims (per P9C).</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Commission timeline</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Month 14–16: research LCA consultancies. Options: Quantis ($10,000–$25,000 for a comparative product LCA), Sphera (thinkstep, $8,000–$20,000), university sustainability programs ($3,000–$10,000 — slower but cheaper, may include graduate student research), or DIY with OpenLCA software (free software, $500 Ecoinvent database license, 40–80 hours of founder time — lowest cost but requires: LCA expertise or significant self-education). Month 16–18: LCA in progress (3–6 months for a thorough comparative assessment). Provide: detailed material composition data (per P2A), manufacturing process data (per P3A), transportation data (per P4A), and end-of-life data (per P4D composting reports). Month 18–24: LCA complete. Results published in: the annual sustainability report (P9E Section 5), a standalone LCA summary on brand.com/impact, press release (“Compostable poncho produces [X]% less carbon than garbage bags, LCA finds” per P7C), B2B pitch materials, and investor presentations.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Marketing use</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The LCA enables: SPECIFIC, QUANTIFIED environmental claims that no competitor can match. Instead of: “Our poncho is better for the environment” (vague, potentially greenwashing per P9C). Use: “Our poncho produces 47% less CO₂e than an LDPE garbage bag over its lifecycle and generates zero landfill waste (verified by independent lifecycle assessment per ISO 14040).” This claim is: specific (47% less CO₂e), substantiated (LCA per ISO 14040), and defensible (the full LCA is available for review). The LCA is the ULTIMATE substantiation tool: it makes every environmental claim in the playbook (P9C) stronger, more specific, and more credible.</w:t>
            </w:r>
          </w:p>
        </w:tc>
      </w:tr>
    </w:tbl>
    <w:p>
      <w:r>
        <w:br w:type="page"/>
      </w:r>
    </w:p>
    <w:p>
      <w:pPr>
        <w:pStyle w:val="Heading1"/>
        <w:spacing w:before="360" w:after="200"/>
      </w:pPr>
      <w:r>
        <w:rPr>
          <w:rFonts w:ascii="Arial" w:cs="Arial" w:eastAsia="Arial" w:hAnsi="Arial"/>
        </w:rPr>
        <w:t xml:space="preserve">7. Timeline &amp; Budget</w:t>
      </w:r>
    </w:p>
    <w:p>
      <w:pPr>
        <w:spacing w:after="160"/>
      </w:pPr>
      <w:r>
        <w:rPr>
          <w:rFonts w:ascii="Arial" w:cs="Arial" w:eastAsia="Arial" w:hAnsi="Arial"/>
          <w:b/>
          <w:bCs/>
          <w:i w:val="false"/>
          <w:iCs w:val="false"/>
          <w:color w:val="000000"/>
          <w:sz w:val="22"/>
          <w:szCs w:val="22"/>
        </w:rPr>
        <w:t xml:space="preserve">MONTH 10–12: Submit for: GSA Innovation Award and Running USA Industry Award (Section 2). Begin: advisory board recruitment (Section 4 — identify 5–7 candidates). Submit: Running USA Conference speaking proposal (Section 3). Begin planning: Year 1 waste report (Section 1 — compile pilot race data, outline report structure).</w:t>
      </w:r>
    </w:p>
    <w:p>
      <w:pPr>
        <w:spacing w:after="160"/>
      </w:pPr>
      <w:r>
        <w:rPr>
          <w:rFonts w:ascii="Arial" w:cs="Arial" w:eastAsia="Arial" w:hAnsi="Arial"/>
          <w:b/>
          <w:bCs/>
          <w:i w:val="false"/>
          <w:iCs w:val="false"/>
          <w:color w:val="000000"/>
          <w:sz w:val="22"/>
          <w:szCs w:val="22"/>
        </w:rPr>
        <w:t xml:space="preserve">MONTH 12–14: Publish: the first annual “State of Start-Line Waste” report (January timing). Launch: Sustainability Partner program (Section 5 — award badge to qualifying Year 1 pilot race directors). Formalize: advisory board (3–4 members, first quarterly meeting). Pitch: 5–10 podcasts for speaking appearances (Section 3). Submit: Outside Best Gear and Fast Company World Changing Ideas applications.</w:t>
      </w:r>
    </w:p>
    <w:p>
      <w:pPr>
        <w:spacing w:after="160"/>
      </w:pPr>
      <w:r>
        <w:rPr>
          <w:rFonts w:ascii="Arial" w:cs="Arial" w:eastAsia="Arial" w:hAnsi="Arial"/>
          <w:b/>
          <w:bCs/>
          <w:i w:val="false"/>
          <w:iCs w:val="false"/>
          <w:color w:val="000000"/>
          <w:sz w:val="22"/>
          <w:szCs w:val="22"/>
        </w:rPr>
        <w:t xml:space="preserve">MONTH 14–18: Speak at: Running USA Conference (if proposal accepted) or attend for networking. Speak at: GSA Summit (if proposal accepted). Commission: lifecycle assessment (Section 6 — select consultancy, provide data, begin 3–6 month assessment process). Continue: advisory board quarterly meetings. Expand: Sustainability Partner program as new races qualify. Pitch: local sustainability panels and additional podcasts.</w:t>
      </w:r>
    </w:p>
    <w:p>
      <w:pPr>
        <w:spacing w:after="160"/>
      </w:pPr>
      <w:r>
        <w:rPr>
          <w:rFonts w:ascii="Arial" w:cs="Arial" w:eastAsia="Arial" w:hAnsi="Arial"/>
          <w:b w:val="false"/>
          <w:bCs w:val="false"/>
          <w:i w:val="false"/>
          <w:iCs w:val="false"/>
          <w:color w:val="000000"/>
          <w:sz w:val="22"/>
          <w:szCs w:val="22"/>
        </w:rPr>
        <w:t xml:space="preserve">BUDGET: Waste report design (Canva): $0–$50. Award application fees: $0–$500. Running USA Conference (registration + travel): $1,000–$2,500. GSA Summit (registration + travel): $1,000–$2,500. Podcast appearances: $0. Advisory board (equity or recognition): $0 cash. Sustainability Partner badge design: $100–$300. Lifecycle assessment: $3,000–$25,000 (university program at $3K–$10K recommended for Year 2; professional consultancy at $10K–$25K for Year 3). TOTAL P10E: $5,100–$30,850. The LCA ($3K–$25K) is the largest investment; everything else costs under $6K combined.</w:t>
      </w:r>
    </w:p>
    <w:p>
      <w:r>
        <w:br w:type="page"/>
      </w:r>
    </w:p>
    <w:p>
      <w:pPr>
        <w:pStyle w:val="Heading1"/>
        <w:spacing w:before="360" w:after="200"/>
      </w:pPr>
      <w:r>
        <w:rPr>
          <w:rFonts w:ascii="Arial" w:cs="Arial" w:eastAsia="Arial" w:hAnsi="Arial"/>
        </w:rPr>
        <w:t xml:space="preserve">8. Conclusion: Define the Category or Be Defined By It</w:t>
      </w:r>
    </w:p>
    <w:p>
      <w:pPr>
        <w:spacing w:after="160"/>
      </w:pPr>
      <w:r>
        <w:rPr>
          <w:rFonts w:ascii="Arial" w:cs="Arial" w:eastAsia="Arial" w:hAnsi="Arial"/>
          <w:b/>
          <w:bCs/>
          <w:i w:val="false"/>
          <w:iCs w:val="false"/>
          <w:color w:val="000000"/>
          <w:sz w:val="22"/>
          <w:szCs w:val="22"/>
        </w:rPr>
        <w:t xml:space="preserve">In every product category: one brand sets the standard and everyone else follows. </w:t>
      </w:r>
      <w:r>
        <w:rPr>
          <w:rFonts w:ascii="Arial" w:cs="Arial" w:eastAsia="Arial" w:hAnsi="Arial"/>
          <w:b w:val="false"/>
          <w:bCs w:val="false"/>
          <w:i w:val="false"/>
          <w:iCs w:val="false"/>
          <w:color w:val="000000"/>
          <w:sz w:val="22"/>
          <w:szCs w:val="22"/>
        </w:rPr>
        <w:t xml:space="preserve">In running shoes: Nike defined the category and every brand since has been measured against Nike. In sustainable outdoor apparel: Patagonia defined the category and every brand since has been compared to Patagonia. In compostable race-day products: the category is UNDEFINED. No brand has: published the waste data, won the innovation awards, spoken at the conferences, certified the partners, or commissioned the lifecycle assessment. The brand that does these things FIRST does not just ENTER the category — it CREATES the category. And the creator of a category has a structural advantage that no follower can overcome: they set the standards, they own the data, they define the vocabulary, and they control the narrative. Every competitor who follows will be measured against: the report, the certification, the LCA, and the awards that the category leader established.</w:t>
      </w:r>
    </w:p>
    <w:p>
      <w:pPr>
        <w:spacing w:after="160"/>
      </w:pPr>
      <w:r>
        <w:rPr>
          <w:rFonts w:ascii="Arial" w:cs="Arial" w:eastAsia="Arial" w:hAnsi="Arial"/>
          <w:b/>
          <w:bCs/>
          <w:i w:val="false"/>
          <w:iCs w:val="false"/>
          <w:color w:val="000000"/>
          <w:sz w:val="22"/>
          <w:szCs w:val="22"/>
        </w:rPr>
        <w:t xml:space="preserve">This is the final section of the playbook. </w:t>
      </w:r>
      <w:r>
        <w:rPr>
          <w:rFonts w:ascii="Arial" w:cs="Arial" w:eastAsia="Arial" w:hAnsi="Arial"/>
          <w:b w:val="false"/>
          <w:bCs w:val="false"/>
          <w:i w:val="false"/>
          <w:iCs w:val="false"/>
          <w:color w:val="000000"/>
          <w:sz w:val="22"/>
          <w:szCs w:val="22"/>
        </w:rPr>
        <w:t xml:space="preserve">From P0 (market research) through P10E (category leadership): every system, every document, every process has been designed to: not just launch a compostable poncho, but to build the CATEGORY of compostable race-day products and ensure that this brand leads it. The playbook is complete. The execution begins.</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6B"/>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2026-04-02T07:37:07.672Z</dcterms:created>
  <dcterms:modified xsi:type="dcterms:W3CDTF">2026-04-02T07:37:07.673Z</dcterms:modified>
</cp:coreProperties>
</file>

<file path=docProps/custom.xml><?xml version="1.0" encoding="utf-8"?>
<Properties xmlns="http://schemas.openxmlformats.org/officeDocument/2006/custom-properties" xmlns:vt="http://schemas.openxmlformats.org/officeDocument/2006/docPropsVTypes"/>
</file>