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P10F: YEAR 2 STRATEGY</w:t>
      </w:r>
    </w:p>
    <w:p>
      <w:pPr>
        <w:spacing w:after="200"/>
        <w:jc w:val="center"/>
      </w:pPr>
      <w:r>
        <w:rPr>
          <w:rFonts w:ascii="Arial" w:cs="Arial" w:eastAsia="Arial" w:hAnsi="Arial"/>
          <w:b/>
          <w:bCs/>
          <w:color w:val="1B3A6B"/>
          <w:sz w:val="44"/>
          <w:szCs w:val="44"/>
        </w:rPr>
        <w:t xml:space="preserve">&amp; PLANNING</w:t>
      </w:r>
    </w:p>
    <w:p>
      <w:pPr>
        <w:pBdr>
          <w:bottom w:val="single" w:color="2E5090" w:sz="6" w:space="12"/>
        </w:pBdr>
        <w:spacing w:after="100"/>
        <w:jc w:val="center"/>
      </w:pPr>
      <w:r>
        <w:rPr>
          <w:rFonts w:ascii="Arial" w:cs="Arial" w:eastAsia="Arial" w:hAnsi="Arial"/>
          <w:color w:val="666666"/>
          <w:sz w:val="24"/>
          <w:szCs w:val="24"/>
        </w:rPr>
        <w:t xml:space="preserve">Sub-Project P10F  |  Scaling, Expansion &amp; Category Leadership  |  Months 11–12</w:t>
      </w:r>
    </w:p>
    <w:p>
      <w:pPr>
        <w:spacing w:before="400"/>
        <w:jc w:val="center"/>
      </w:pPr>
      <w:r>
        <w:rPr>
          <w:rFonts w:ascii="Arial" w:cs="Arial" w:eastAsia="Arial" w:hAnsi="Arial"/>
          <w:i/>
          <w:iCs/>
          <w:color w:val="888888"/>
          <w:sz w:val="22"/>
          <w:szCs w:val="22"/>
        </w:rPr>
        <w:t xml:space="preserve">Complete Year 2 Transition: Year 1 P&amp;L with Channel Analysis, Customer Satisfaction Surveys, 9-Metric Year 2 Target Framework, Fundraising Evaluation, Year 2 B2B Commitments, and Operational Handbook</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Year 2 planning begins in Month 11 — not Month 13. </w:t>
      </w:r>
      <w:r>
        <w:rPr>
          <w:rFonts w:ascii="Arial" w:cs="Arial" w:eastAsia="Arial" w:hAnsi="Arial"/>
          <w:b w:val="false"/>
          <w:bCs w:val="false"/>
          <w:i w:val="false"/>
          <w:iCs w:val="false"/>
          <w:color w:val="000000"/>
          <w:sz w:val="22"/>
          <w:szCs w:val="22"/>
        </w:rPr>
        <w:t xml:space="preserve">The decisions made in November–December of Year 1 determine: which races are served in Year 2 (early-bird POs must be placed by December for spring races), how much inventory is produced (Run 1 PO must be placed in January per P10A Section 5), whether external capital is raised (investor conversations take 2–3 months to close), and who joins the team (the first hire needs 30–60 days of onboarding). Every delay in Year 2 planning is a delay in Year 2 execution. This document ensures: the Year 1→Year 2 transition is: data-driven (Year 1 P&amp;L), customer-validated (satisfaction surveys), target-specific (9-metric framework), financially planned (fundraising evaluation), commercially committed (B2B pipeline locked), and operationally documented (handbook for continuity).</w:t>
      </w:r>
    </w:p>
    <w:p>
      <w:pPr>
        <w:spacing w:after="160"/>
      </w:pPr>
      <w:r>
        <w:rPr>
          <w:rFonts w:ascii="Arial" w:cs="Arial" w:eastAsia="Arial" w:hAnsi="Arial"/>
          <w:b/>
          <w:bCs/>
          <w:i w:val="false"/>
          <w:iCs w:val="false"/>
          <w:color w:val="000000"/>
          <w:sz w:val="22"/>
          <w:szCs w:val="22"/>
        </w:rPr>
        <w:t xml:space="preserve">Seven planning systems are defined: </w:t>
      </w:r>
      <w:r>
        <w:rPr>
          <w:rFonts w:ascii="Arial" w:cs="Arial" w:eastAsia="Arial" w:hAnsi="Arial"/>
          <w:b w:val="false"/>
          <w:bCs w:val="false"/>
          <w:i w:val="false"/>
          <w:iCs w:val="false"/>
          <w:color w:val="000000"/>
          <w:sz w:val="22"/>
          <w:szCs w:val="22"/>
        </w:rPr>
        <w:t xml:space="preserve">(1) Year 1 P&amp;L completion with 6-section channel analysis, (2) customer satisfaction surveys for B2B and DTC with NPS calculation, (3) a 9-metric Year 2 target framework covering B2B, DTC, margin, satisfaction, product launches, international expansion, and team growth, (4) a fundraising evaluation with self-fund vs. raise criteria, (5) Year 2 B2B commitment acceleration through early-bird offers, reorder conversations, refreshed outreach, and series deal advancement, (6) the complete operational handbook documenting every process for continuity and onboarding, and (7) the final synthesis that transforms 60 subprojects and 391 tasks into an OPERATING BUSINESS ready for its second year.</w:t>
      </w:r>
    </w:p>
    <w:p>
      <w:r>
        <w:br w:type="page"/>
      </w:r>
    </w:p>
    <w:p>
      <w:pPr>
        <w:pStyle w:val="Heading1"/>
        <w:spacing w:before="360" w:after="200"/>
      </w:pPr>
      <w:r>
        <w:rPr>
          <w:rFonts w:ascii="Arial" w:cs="Arial" w:eastAsia="Arial" w:hAnsi="Arial"/>
        </w:rPr>
        <w:t xml:space="preserve">1. Year 1 Complete P&amp;L: 6 Sections</w:t>
      </w:r>
    </w:p>
    <w:p>
      <w:pPr>
        <w:spacing w:after="160"/>
      </w:pPr>
      <w:r>
        <w:rPr>
          <w:rFonts w:ascii="Arial" w:cs="Arial" w:eastAsia="Arial" w:hAnsi="Arial"/>
          <w:b/>
          <w:bCs/>
          <w:i w:val="false"/>
          <w:iCs w:val="false"/>
          <w:color w:val="000000"/>
          <w:sz w:val="22"/>
          <w:szCs w:val="22"/>
        </w:rPr>
        <w:t xml:space="preserve">The Year 1 P&amp;L is the business’s financial report card. </w:t>
      </w:r>
      <w:r>
        <w:rPr>
          <w:rFonts w:ascii="Arial" w:cs="Arial" w:eastAsia="Arial" w:hAnsi="Arial"/>
          <w:b w:val="false"/>
          <w:bCs w:val="false"/>
          <w:i w:val="false"/>
          <w:iCs w:val="false"/>
          <w:color w:val="000000"/>
          <w:sz w:val="22"/>
          <w:szCs w:val="22"/>
        </w:rPr>
        <w:t xml:space="preserve">It answers: did we make money, where did it come from, where did it go, and what does this mean for Year 2? The P&amp;L template below is per P8D Section 5 — this section adds: the ANALYTICAL FRAMEWORK for interpreting the numbers and translating them into Year 2 decisions.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What to Analyze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Revenue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Shopify DTC, Amazon DTC, B2B Standard, B2B Co-Brand, Expo Direct, Retail (if launched). Break down by: channel, month, and SKU. Compare: to P8A Section 5 scenario projections (conservative/moderate/aggressive). IDENTIFY: which channel exceeded expectations and which underperformed. The channel performance comparison informs: Year 2 budget allocation (invest more in outperformers, fix or reduce underperformers).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COGS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Actual per-unit COGS vs. P8A Section 3 estimates. Include: raw material costs, conversion fees, freight, import duties, packaging, FBA fees, and Shopify transaction fees. IDENTIFY: where actual COGS deviated from estimates and WHY (factory pricing different than quoted, freight surcharges, duty classification changes). UPDATE: the unit economics model with actual data for Year 2 planning.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Marketing spend</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by channel: Meta Ads, Google Ads, Amazon PPC, ambassador program, PR, expo costs, content tools, email platform, community (Strava, Reddit time value). Calculate: CAC by channel, ROAS by campaign, and blended marketing ROI (per P7F Section 7). IDENTIFY: highest-ROI channel (invest more in Year 2) and lowest-ROI channel (reduce or eliminate). Document: which creatives, audiences, and campaigns performed best for replication in Year 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Operating expenses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by category: software, insurance, professional services, travel, home office, shipping supplies, miscellaneous. Calculate: operating expenses as % of revenue. TARGET: &lt;20% of revenue is healthy. If &gt;30%: identify areas to reduce. COMPARE: to P8A projections. Most operating expenses should be PREDICTABLE after 12 months of data.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Net income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Revenue − COGS − Marketing − Operating = Net Income. Net Margin % = Net Income / Revenue. COMPARE: to P8A scenarios (Bootstrap: −$5,257 to +$4,314; Full Launch: −$22,958 to +$25,888). The ACTUAL net income determines: the Year 2 funding path (self-fund if profitable, raise if not per P8D Section 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Cash position</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Year-end bank balance. Accounts receivable outstanding. Inventory on hand (valued at COGS). Accounts payable outstanding. NET CASH POSITION: bank balance + AR − AP = available cash for Year 2 operations. RUNWAY: net cash position / average monthly burn rate = months of runway without additional revenue or funding.</w:t>
            </w:r>
          </w:p>
        </w:tc>
      </w:tr>
    </w:tbl>
    <w:p>
      <w:pPr>
        <w:spacing w:before="200"/>
      </w:pPr>
    </w:p>
    <w:p>
      <w:pPr>
        <w:pStyle w:val="Heading2"/>
        <w:spacing w:before="280" w:after="160"/>
      </w:pPr>
      <w:r>
        <w:rPr>
          <w:rFonts w:ascii="Arial" w:cs="Arial" w:eastAsia="Arial" w:hAnsi="Arial"/>
        </w:rPr>
        <w:t xml:space="preserve">1.1 Year 1 P&amp;L Action Items</w:t>
      </w:r>
    </w:p>
    <w:p>
      <w:pPr>
        <w:spacing w:after="160"/>
      </w:pPr>
      <w:r>
        <w:rPr>
          <w:rFonts w:ascii="Arial" w:cs="Arial" w:eastAsia="Arial" w:hAnsi="Arial"/>
          <w:b w:val="false"/>
          <w:bCs w:val="false"/>
          <w:i w:val="false"/>
          <w:iCs w:val="false"/>
          <w:color w:val="000000"/>
          <w:sz w:val="22"/>
          <w:szCs w:val="22"/>
        </w:rPr>
        <w:t xml:space="preserve">After completing the Year 1 P&amp;L: (1) UPDATE the unit economics model (P8A Section 3) with actual data — this becomes the Year 2 pricing foundation. (2) UPDATE the cash flow forecast (P8A Sections 1–2) with actual revenue patterns — this becomes the Year 2 cash flow projection. (3) IDENTIFY the #1 financial priority for Year 2: is it: revenue growth (need more customers), margin improvement (need lower COGS or higher prices), cost reduction (spending too much on marketing or operations), or cash management (timing issues even though profitable)? The #1 financial priority shapes: which Year 2 targets receive the most focus, which hires are made, and where incremental investment goes.</w:t>
      </w:r>
    </w:p>
    <w:p>
      <w:r>
        <w:br w:type="page"/>
      </w:r>
    </w:p>
    <w:p>
      <w:pPr>
        <w:pStyle w:val="Heading1"/>
        <w:spacing w:before="360" w:after="200"/>
      </w:pPr>
      <w:r>
        <w:rPr>
          <w:rFonts w:ascii="Arial" w:cs="Arial" w:eastAsia="Arial" w:hAnsi="Arial"/>
        </w:rPr>
        <w:t xml:space="preserve">2. Customer Satisfaction Survey: B2B + DTC</w:t>
      </w:r>
    </w:p>
    <w:p>
      <w:pPr>
        <w:spacing w:after="160"/>
      </w:pPr>
      <w:r>
        <w:rPr>
          <w:rFonts w:ascii="Arial" w:cs="Arial" w:eastAsia="Arial" w:hAnsi="Arial"/>
          <w:b/>
          <w:bCs/>
          <w:i w:val="false"/>
          <w:iCs w:val="false"/>
          <w:color w:val="000000"/>
          <w:sz w:val="22"/>
          <w:szCs w:val="22"/>
        </w:rPr>
        <w:t xml:space="preserve">Customer satisfaction data is MORE IMPORTANT than financial data for predicting Year 2 success. </w:t>
      </w:r>
      <w:r>
        <w:rPr>
          <w:rFonts w:ascii="Arial" w:cs="Arial" w:eastAsia="Arial" w:hAnsi="Arial"/>
          <w:b w:val="false"/>
          <w:bCs w:val="false"/>
          <w:i w:val="false"/>
          <w:iCs w:val="false"/>
          <w:color w:val="000000"/>
          <w:sz w:val="22"/>
          <w:szCs w:val="22"/>
        </w:rPr>
        <w:t xml:space="preserve">A business with: $50K Year 1 revenue and NPS 60 will grow faster in Year 2 than a business with: $150K Year 1 revenue and NPS 20. High satisfaction means: reorders, referrals, positive reviews, and organic growth. Low satisfaction means: churn, complaints, negative reviews, and dependence on paid acquisition.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Survey</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survey (race directors)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to: ALL race directors who ordered in Year 1 (pilot and standard). Method: email with Google Form or Typeform link (5–10 minutes to complete). Questions: (1) Overall satisfaction with the product (1–10 scale). (2) Overall satisfaction with the service/partnership (1–10 scale). (3) Net Promoter Score: “How likely are you to recommend [BRAND] to a fellow race director?” (0–10). (4) Product quality: warmth, tear-away, sizing, packaging (1–5 each). (5) Logistics: delivery timeliness, composting coordination, communication responsiveness (1–5 each). (6) Pricing: “How do you feel about the pricing relative to the value received?” (too expensive / fair / great value). (7) Reorder intent: “Do you plan to order again next season?” (definitely / probably / unlikely / no). (8) Open text: “What could we do better?” and “What did we do best?”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within 30 days of the final Year 1 race (before the race director moves on to next-season planning). Expected response rate: 60–80% (B2B customers have a direct relationship and are motivated to provide feedback that improves the product for their runners).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survey (runners)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to: ALL Shopify + Amazon customers who purchased in Year 1 (email addresses from Klaviyo + Amazon buyer–seller messaging). Method: email with Google Form link (3–5 minutes). Questions: (1) Overall satisfaction (1–10). (2) NPS (0–10). (3) Product quality: warmth, tear-away, sizing, packaging (1–5 each). (4) “Did you use the poncho at a race?” (yes / no / not yet). (5) If yes: “Which race?” (6) “Would you buy again for your next cold-weather race?” (yes / maybe / no). (7) “How did you hear about us?” (Instagram, TikTok, Amazon search, Google search, friend/word-of-mouth, expo, race director, other). (8) Open text: “Anything else you’d like to tell 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Send: December (after fall race season) or January (Year-end cleanup). Expected response rate: 10–20% (DTC customers have a weaker relationship than B2B). Incentive: “Complete this 3-minute survey and get 15% off your next order.” The incentive doubles response rate to 20–35%.</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Analysis framework</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AGGREGATE: calculate average scores for each question across all respondents. NPS CALCULATION: % Promoters (9–10) minus % Detractors (0–6) = NPS score. Target: NPS &gt;40 (excellent for a product brand; B2B NPS &gt;50 is world-class). SEGMENT: compare B2B vs. DTC satisfaction. Compare: first-time vs. repeat customers. Compare: by race (did runners at Race A rate the poncho differently than Race B?). IDENTIFY: the top 3 strengths (what to AMPLIFY in Year 2 marketing) and top 3 weaknesses (what to FIX in V1.5 per P10B Section 6). VERBATIM QUOTES: extract the 10 best positive quotes for marketing (with permission) and the 10 most constructive criticism quotes for product development.</w:t>
            </w:r>
          </w:p>
        </w:tc>
      </w:tr>
    </w:tbl>
    <w:p>
      <w:pPr>
        <w:spacing w:before="200"/>
      </w:pPr>
    </w:p>
    <w:p>
      <w:pPr>
        <w:pStyle w:val="Heading2"/>
        <w:spacing w:before="280" w:after="160"/>
      </w:pPr>
      <w:r>
        <w:rPr>
          <w:rFonts w:ascii="Arial" w:cs="Arial" w:eastAsia="Arial" w:hAnsi="Arial"/>
        </w:rPr>
        <w:t xml:space="preserve">2.1 Survey-to-Action Pipeline</w:t>
      </w:r>
    </w:p>
    <w:p>
      <w:pPr>
        <w:spacing w:after="160"/>
      </w:pPr>
      <w:r>
        <w:rPr>
          <w:rFonts w:ascii="Arial" w:cs="Arial" w:eastAsia="Arial" w:hAnsi="Arial"/>
          <w:b w:val="false"/>
          <w:bCs w:val="false"/>
          <w:i w:val="false"/>
          <w:iCs w:val="false"/>
          <w:color w:val="000000"/>
          <w:sz w:val="22"/>
          <w:szCs w:val="22"/>
        </w:rPr>
        <w:t xml:space="preserve">SATISFACTION SCORES → PRODUCT ACTIONS: if warmth scores &lt;4.0: prioritize thermal improvement in V1.5 (double-layer NatureFlex, per P10B Section 6). If tear-away scores &lt;4.0: prioritize perforation adjustment. If sizing scores &lt;4.0: introduce S/M + L/XL options. SATISFACTION SCORES → MARKETING ACTIONS: extract the 10 best verbatim quotes from the survey. Use as: website testimonials, Amazon A+ Content quotes, social media posts, and B2B pitch deck slides. High-NPS customers: approach as ambassador candidates (P7A). NPS SCORE → STRATEGIC ACTION: NPS &gt;50 = accelerate Year 2 growth confidently (product-market fit is proven). NPS 30–50 = grow cautiously, fix the identified issues first. NPS &lt;30 = Year 2 should focus on: product improvement and customer recovery before scaling.</w:t>
      </w:r>
    </w:p>
    <w:p>
      <w:r>
        <w:br w:type="page"/>
      </w:r>
    </w:p>
    <w:p>
      <w:pPr>
        <w:pStyle w:val="Heading1"/>
        <w:spacing w:before="360" w:after="200"/>
      </w:pPr>
      <w:r>
        <w:rPr>
          <w:rFonts w:ascii="Arial" w:cs="Arial" w:eastAsia="Arial" w:hAnsi="Arial"/>
        </w:rPr>
        <w:t xml:space="preserve">3. Year 2 Targets: 9 Metrics</w:t>
      </w:r>
    </w:p>
    <w:p>
      <w:pPr>
        <w:spacing w:after="160"/>
      </w:pPr>
      <w:r>
        <w:rPr>
          <w:rFonts w:ascii="Arial" w:cs="Arial" w:eastAsia="Arial" w:hAnsi="Arial"/>
          <w:b/>
          <w:bCs/>
          <w:i w:val="false"/>
          <w:iCs w:val="false"/>
          <w:color w:val="000000"/>
          <w:sz w:val="22"/>
          <w:szCs w:val="22"/>
        </w:rPr>
        <w:t xml:space="preserve">Year 2 targets are built on ACTUAL Year 1 data, not projections. </w:t>
      </w:r>
      <w:r>
        <w:rPr>
          <w:rFonts w:ascii="Arial" w:cs="Arial" w:eastAsia="Arial" w:hAnsi="Arial"/>
          <w:b w:val="false"/>
          <w:bCs w:val="false"/>
          <w:i w:val="false"/>
          <w:iCs w:val="false"/>
          <w:color w:val="000000"/>
          <w:sz w:val="22"/>
          <w:szCs w:val="22"/>
        </w:rPr>
        <w:t xml:space="preserve">Each target has: a specific metric, a Year 1 baseline (actual), a Year 2 target range, growth sources (where the improvement comes from), and strategic significance (why this metric matters). The 9 metrics together form: the Year 2 scorecard that the founder reviews monthly and reports to advisors/investors quarterly.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6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Growth Strategy</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races served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actual: [X] races. Year 2 target: 2–3× Year 1. Sources: Year 1 reorders (target 80%+ reorder rate) + new races from referrals + new races from expo leads + 1–2 series deals. STRETCH: if a series deal (REVEL, Mainly Marathons) closes: Year 2 races could be 3–5× Year 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PRIORITY #1. B2B races are the revenue engine. Every other target flows from: how many races the brand serves.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B2B units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1 actual: [X] units. Year 2 target: 2–3× Year 1. Growth from: larger orders from existing customers (pilot → full adoption), new customers at higher initial volumes (Year 1 case studies reduce the need for small pilot orders), and series deals at 5,000–50,000 units per deal.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Drives: production planning (P10A Section 5), COGS negotiation (P10A Section 1), and cash flow (P8B Section 4).</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revenue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actual: $[X]. Year 2 target: 2–3× Year 1. Average B2B unit price may DECREASE slightly (volume discounts, early-bird pricing per P5F Section 4) but total revenue INCREASES due to: higher unit volume. Target B2B revenue: $50K–$200K depending on Year 1 base.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revenue should be: 60–70% of total Year 2 revenue (same ratio as Year 1 if B2B-led strategy continues).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DTC revenue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1 actual: $[X]. Year 2 target: 1.5–2.5× Year 1. Growth from: improved Amazon organic ranking (Year 1 reviews + BSR momentum), Shopify organic traffic growth (SEO per P6D compounds over 12 months), new product SKUs (finish-line wrap, bib sleeve, gift set per P10B), and retail channel revenue (Fleet Feet, Faire, local stores per P10D). Target DTC revenue: $15K–$75K.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DTC grows ORGANICALLY as: SEO authority builds, review count increases, brand awareness spreads, and the product line expands. Year 2 DTC should require: LESS incremental marketing spend per dollar of revenue than Year 1 (the flywheel effect).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Gross margin</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actual blended: [X]%. Year 2 target: +3–5 percentage points improvement. Driven by: volume pricing (P10A Section 1 reduces per-unit COGS by $0.15–$0.30), reduced PPC dependency (organic traffic grows, paid CAC decreases), and channel mix optimization (push 3-pack hero SKU, reduce low-margin singles).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Gross margin improvement at constant volume = direct profit increase. A 5% margin improvement on $200K revenue = $10,000 additional profit.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Customer satisfaction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1 actual NPS: [X]. Year 2 target: NPS &gt;50 (B2B) and NPS &gt;40 (DTC). Driven by: V1.5 product improvements (P10B Section 6), improved logistics (3PL upgrade per P10A Section 6 reduces shipping errors), and deeper account management (P5F annual cadence).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NPS is the LEADING INDICATOR of: reorder rate, referral rate, and review quality. NPS &gt;50 means: the business has genuine product-market fit and can grow through word-of-mouth.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New product launches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2 launches: V1.5 improved poncho (Q1), finish-line wrap (Q2), bib sleeve (Q3), Race Day Kit gift bundle (Q4), 1–2 limited-edition colorways (spring + fall). Total new SKUs: 4–6.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Each new SKU: adds revenue, deepens B2B relationships (cross-sell), expands Amazon presence (more listings = more search visibility), and strengthens the brand as a PLATFORM (not a single-product company).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International expansion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2: 1–2 European pilot races (London + Amsterdam or Berlin per P10C) + 1–2 Canadian races (Ottawa or Toronto). Year 2 international revenue target: $10K–$30K (small but proves: the model works internationally). Year 3: scale to 4–6 European races + 3–5 Canadian races.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International pilots in Year 2 VALIDATE: the logistics model, EN 13432 compliance in practice, and European/Canadian race director receptivity. The revenue is secondary; the LEARNING is primary.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Team growth</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2 team: founder + 1–2 part-time contributors. Options: (A) part-time virtual assistant ($15–$25/hour, 10–20 hours/week) for: order processing, email management, social media scheduling, and data entry. (B) Part-time marketing coordinator ($25–$40/hour, 10–15 hours/week) for: content creation, social media management, and ad campaign optimization. (C) B2B sales contractor ($2,000–$4,000/month, commission-based) for: race director outreach, expo attendance, and pipeline development. HIRE: the role that MOST constrains the founder’s time. If the founder spends &gt;10 hours/week on: operations/admin → hire a VA. Content/marketing → hire a marketing coordinator. B2B outreach → hire a sales contractor.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first hire is the most important operational decision of Year 2. It should: free the founder’s time for the HIGHEST-VALUE activity (typically: B2B relationship management and strategic planning). Do NOT hire a generalist who does everything poorly. Hire a SPECIALIST who excels at the founder’s biggest bottleneck.</w:t>
            </w:r>
          </w:p>
        </w:tc>
      </w:tr>
    </w:tbl>
    <w:p>
      <w:r>
        <w:br w:type="page"/>
      </w:r>
    </w:p>
    <w:p>
      <w:pPr>
        <w:pStyle w:val="Heading1"/>
        <w:spacing w:before="360" w:after="200"/>
      </w:pPr>
      <w:r>
        <w:rPr>
          <w:rFonts w:ascii="Arial" w:cs="Arial" w:eastAsia="Arial" w:hAnsi="Arial"/>
        </w:rPr>
        <w:t xml:space="preserve">4. Fundraising Evaluation</w:t>
      </w:r>
    </w:p>
    <w:p>
      <w:pPr>
        <w:spacing w:after="160"/>
      </w:pPr>
      <w:r>
        <w:rPr>
          <w:rFonts w:ascii="Arial" w:cs="Arial" w:eastAsia="Arial" w:hAnsi="Arial"/>
          <w:b/>
          <w:bCs/>
          <w:i w:val="false"/>
          <w:iCs w:val="false"/>
          <w:color w:val="000000"/>
          <w:sz w:val="22"/>
          <w:szCs w:val="22"/>
        </w:rPr>
        <w:t xml:space="preserve">The fundraising decision is made at Month 12 based on: Year 1 actual data and the Year 2 plan’s capital requirements. </w:t>
      </w:r>
      <w:r>
        <w:rPr>
          <w:rFonts w:ascii="Arial" w:cs="Arial" w:eastAsia="Arial" w:hAnsi="Arial"/>
          <w:b w:val="false"/>
          <w:bCs w:val="false"/>
          <w:i w:val="false"/>
          <w:iCs w:val="false"/>
          <w:color w:val="000000"/>
          <w:sz w:val="22"/>
          <w:szCs w:val="22"/>
        </w:rPr>
        <w:t xml:space="preserve">There are NO wrong answers — only trade-offs. Self-funding preserves ownership but limits speed. Raising capital accelerates growth but dilutes equity and adds reporting obligations. The evaluation below provides: clear criteria for each path so the founder can decide rationally, not emotionally.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Criteria</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Trade-offs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Self-fund criteria</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Year 1 was profitable (net income &gt;$0) OR near-breakeven with clear path to Year 2 profitability. Cash reserves cover: 3+ months of Year 2 operating expenses. Year 2 plan is CONSERVATIVE (1.5–2× growth, no major new hires, no international expansion). The founder is comfortable: maintaining full ownership and growing at organic pace.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Self-funding preserves: 100% ownership, full decision-making authority, and zero investor reporting obligations. Trade-off: slower growth, limited by cash flow, and the founder bears 100% of the financial risk.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Raise capital criteria</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Year 1 demonstrated: strong product-market fit (NPS &gt;40, reorder rate &gt;70%) BUT revenue did not cover costs (operating at a loss). OR: the opportunity is LARGER than what self-funding can capture (a series deal requires $50K in upfront inventory that the brand cannot self-fund, or international expansion requires $30K+ in Year 2 investment). The founder is ready: to dilute ownership in exchange for faster growth, accept investor reporting obligations, and operate with a board or advisory input.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Raising capital is justified when: the opportunity cost of NOT raising exceeds the cost of dilution. If a $100K investment enables $300K in Year 2 revenue that would be impossible otherwise: the dilution is worth it. If a $100K investment enables $50K in marginal revenue: it’s not worth the complexity.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Fundraising options summary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SAFE NOTE ($25K–$100K): friends/family/angels. Simple, fast, minimal legal cost ($500–$2,000 via YC SAFE template). Valuation cap: $500K–$2M. ANGEL ROUND ($100K–$500K): angel networks, climate funds. SAFE or convertible note. Cap: $1M–$5M. GRANTS ($5K–$50K): USDA BioPreferred, EPA SBIR, state green business grants, accelerator programs. Non-dilutive. REVENUE-BASED FINANCING ($10K–$100K): Clearco, Pipe, Shopify Capital. Repaid as % of monthly revenue. No dilution. Requires: proven revenue history. For each option: prepare per P8D Section 4 investor materials.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fundraising DECISION should be made at the Month 12 decision gate (P8D Section 2.1) based on: actual Year 1 data, not aspirational projections. The investor materials (pitch deck, financial model, data room) should be READY by Month 12 regardless of the decision — having materials ready creates optionality.</w:t>
            </w:r>
          </w:p>
        </w:tc>
      </w:tr>
    </w:tbl>
    <w:p>
      <w:pPr>
        <w:spacing w:before="200"/>
      </w:pPr>
    </w:p>
    <w:p>
      <w:pPr>
        <w:pStyle w:val="Heading2"/>
        <w:spacing w:before="280" w:after="160"/>
      </w:pPr>
      <w:r>
        <w:rPr>
          <w:rFonts w:ascii="Arial" w:cs="Arial" w:eastAsia="Arial" w:hAnsi="Arial"/>
        </w:rPr>
        <w:t xml:space="preserve">4.1 Fundraising Decision Checklist</w:t>
      </w:r>
    </w:p>
    <w:p>
      <w:pPr>
        <w:spacing w:after="160"/>
      </w:pPr>
      <w:r>
        <w:rPr>
          <w:rFonts w:ascii="Arial" w:cs="Arial" w:eastAsia="Arial" w:hAnsi="Arial"/>
          <w:b w:val="false"/>
          <w:bCs w:val="false"/>
          <w:i w:val="false"/>
          <w:iCs w:val="false"/>
          <w:color w:val="000000"/>
          <w:sz w:val="22"/>
          <w:szCs w:val="22"/>
        </w:rPr>
        <w:t xml:space="preserve">Answer YES or NO to each: (1) Can Year 2 be executed with existing cash reserves + Year 2 operating cash flow? If YES → self-fund is viable. (2) Is there a specific OPPORTUNITY that requires capital beyond what’s available? (e.g., series deal requiring $50K+ inventory, international expansion requiring $30K+). If YES → raising is justified for a SPECIFIC use of funds. (3) Is the founder comfortable with: dilution, investor reporting, and shared decision-making? If NO → do not raise, even if it means slower growth. (4) Does Year 1 data demonstrate PRODUCT-MARKET FIT? (NPS &gt;40, reorder rate &gt;70%, 25+ positive reviews). If YES → the business is FUNDABLE. If NO → fix PMF before raising (investors will see through weak PMF). (5) Are investor materials READY? (pitch deck, financial model, data room per P8D Section 4). If NO → prepare them before initiating conversations. The checklist should produce: a clear decision by December 31, communicated in the Month 12 investor update (P8B Section 6).</w:t>
      </w:r>
    </w:p>
    <w:p>
      <w:r>
        <w:br w:type="page"/>
      </w:r>
    </w:p>
    <w:p>
      <w:pPr>
        <w:pStyle w:val="Heading1"/>
        <w:spacing w:before="360" w:after="200"/>
      </w:pPr>
      <w:r>
        <w:rPr>
          <w:rFonts w:ascii="Arial" w:cs="Arial" w:eastAsia="Arial" w:hAnsi="Arial"/>
        </w:rPr>
        <w:t xml:space="preserve">5. Year 2 B2B Commitment Acceleration</w:t>
      </w:r>
    </w:p>
    <w:p>
      <w:pPr>
        <w:spacing w:after="160"/>
      </w:pPr>
      <w:r>
        <w:rPr>
          <w:rFonts w:ascii="Arial" w:cs="Arial" w:eastAsia="Arial" w:hAnsi="Arial"/>
          <w:b/>
          <w:bCs/>
          <w:i w:val="false"/>
          <w:iCs w:val="false"/>
          <w:color w:val="000000"/>
          <w:sz w:val="22"/>
          <w:szCs w:val="22"/>
        </w:rPr>
        <w:t xml:space="preserve">The Year 2 B2B pipeline must be BUILT before Year 2 begins. </w:t>
      </w:r>
      <w:r>
        <w:rPr>
          <w:rFonts w:ascii="Arial" w:cs="Arial" w:eastAsia="Arial" w:hAnsi="Arial"/>
          <w:b w:val="false"/>
          <w:bCs w:val="false"/>
          <w:i w:val="false"/>
          <w:iCs w:val="false"/>
          <w:color w:val="000000"/>
          <w:sz w:val="22"/>
          <w:szCs w:val="22"/>
        </w:rPr>
        <w:t xml:space="preserve">A founder who enters January with: 3 confirmed early-bird POs, 5 verbal reorder commitments, 10 warm prospect conversations, and 1 series deal in negotiation has: a CLEAR path to Year 2 revenue. A founder who enters January with: an empty pipeline and plans to “start outreach soon” has: 3–6 months of lag before the first Year 2 PO arrives.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Early-bird offers</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P5F Section 4: send early-bird pricing to ALL Year 1 B2B customers by Month 11. Early-bird terms: 10–15% off standard Year 2 pricing for POs placed ≥6 months before race date. DEADLINE: create urgency with a specific early-bird deadline (“Early-bird pricing available until [date]”). TARGET: 40–60% of Year 1 customers commit via early-bird. At 5 Year 1 customers: 2–3 early-bird commitments by December = production planning certainty for spring + fall.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Reorder conversations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P5F Section 3 account cadence: the annual review touchpoint (December–January) is the reorder conversation. For EACH Year 1 customer: schedule a 45-minute annual review call. Present: their pilot/Year 1 data (units distributed, collection rate, composting report), V1.5 product improvements, Year 2 pricing, and the Sustainability Partner badge (P10E Section 5 — if they qualify). Ask: “Are you ordering again for next season? What quantity? Do you want co-branding? Are you interested in the finish-line wrap?”</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New prospect outreach</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With Year 1 case studies, press coverage, and potentially an award: the Year 2 B2B outreach is DRAMATICALLY more effective than Year 1’s cold outreach. REFRESH: the B2B pitch deck with: Year 1 data (races served, units composted, runner satisfaction), case study highlights, media logos (“As featured in...”), and Year 2 product offerings (poncho + wrap + bib sleeve). OUTREACH: to 20–50 new race director prospects (expo contacts, referrals, GSA/Running USA connections, and LinkedIn/email cold outreach with case study as the lead). TARGET: 5–15 new B2B customers in Year 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Series deal advancement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 P5C: if REVEL, Mainly Marathons, or another series showed interest in Year 1: Month 11–12 is the window to: present the Year 2 proposal (multi-race deal with volume pricing), reference Year 1 case studies from individual races, and offer: exclusive series pricing, co-branded design for the entire series, and composting logistics at every event. A single series deal (8–15 races, 30K–75K units) transforms Year 2 from: incremental growth to step-change scaling.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Pipeline target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By December 31: B2B pipeline value of $100K+ (weighted). Composed of: early-bird commitments (confirmed, 100% weight), reorder intents (verbal, 75% weight), new prospect conversations (50% weight for proposals sent, 25% for meetings scheduled), and series discussions (25–50% weight depending on stage). This pipeline is the FOUNDATION of the Year 2 financial plan (P8D Section 3) and production schedule (P10A Section 5).</w:t>
            </w:r>
          </w:p>
        </w:tc>
      </w:tr>
    </w:tbl>
    <w:p>
      <w:r>
        <w:br w:type="page"/>
      </w:r>
    </w:p>
    <w:p>
      <w:pPr>
        <w:pStyle w:val="Heading1"/>
        <w:spacing w:before="360" w:after="200"/>
      </w:pPr>
      <w:r>
        <w:rPr>
          <w:rFonts w:ascii="Arial" w:cs="Arial" w:eastAsia="Arial" w:hAnsi="Arial"/>
        </w:rPr>
        <w:t xml:space="preserve">6. Operational Handbook</w:t>
      </w:r>
    </w:p>
    <w:p>
      <w:pPr>
        <w:spacing w:after="160"/>
      </w:pPr>
      <w:r>
        <w:rPr>
          <w:rFonts w:ascii="Arial" w:cs="Arial" w:eastAsia="Arial" w:hAnsi="Arial"/>
          <w:b/>
          <w:bCs/>
          <w:i w:val="false"/>
          <w:iCs w:val="false"/>
          <w:color w:val="000000"/>
          <w:sz w:val="22"/>
          <w:szCs w:val="22"/>
        </w:rPr>
        <w:t xml:space="preserve">The operational handbook is the document that makes the business BIGGER THAN THE FOUNDER. </w:t>
      </w:r>
      <w:r>
        <w:rPr>
          <w:rFonts w:ascii="Arial" w:cs="Arial" w:eastAsia="Arial" w:hAnsi="Arial"/>
          <w:b w:val="false"/>
          <w:bCs w:val="false"/>
          <w:i w:val="false"/>
          <w:iCs w:val="false"/>
          <w:color w:val="000000"/>
          <w:sz w:val="22"/>
          <w:szCs w:val="22"/>
        </w:rPr>
        <w:t xml:space="preserve">Without it: every process lives in the founder’s head, every password is in the founder’s memory, and every relationship depends on the founder’s personal involvement. With it: a new hire can onboard in 1 week, an advisor can understand operations in 1 hour, and the founder can take a 2-week vacation without the business stopping.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operational handbook is the founder’s institutional memory captured on paper. If the founder is: hit by a bus (worst case), taking a vacation (needed), hiring someone who needs onboarding (Year 2), or seeking investment (due diligence), the handbook ensures: ANYONE can understand and operate the business by reading 1 document. It is also: the founder’s own reference guide when Month 14 arrives and they can’t remember the exact process for placing a co-brand production order or filing sales tax in Ohio.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Content structure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SECTION 1: Company overview (mission, entity structure, key contacts, bank accounts, insurance policies). SECTION 2: Product (specifications, materials, certifications, supplier details, golden sample reference). SECTION 3: Manufacturing (how to place a production order, factory contacts, quality inspection process, payment terms). SECTION 4: Supply chain (freight forwarder contacts, customs process, FBA inbound process, 3PL relationship). SECTION 5: B2B operations (CRM overview, order management process per P5F Section 1, invoicing, receivables, account management cadence). SECTION 6: DTC operations (Shopify admin guide, Amazon Seller Central key processes, Klaviyo email flows, review management). SECTION 7: Marketing (content calendar template, ad account access, ambassador management, PR contact list, social media scheduling). SECTION 8: Financial (accounting system login/process, monthly P&amp;L review template, cash flow projection, tax payment schedule). SECTION 9: Legal (where to find: LLC docs, operating agreement, insurance certificates, contracts, IP filings, NDA template). SECTION 10: Key passwords and access (stored in: 1Password or LastPass, NOT in the handbook itself — the handbook references the password manager).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Documentation approach</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NOT write the handbook from scratch in Month 12. Instead: throughout Year 1, after completing ANY process for the first time: write 3–5 bullet points describing the process and save in a Google Doc (“Operational Notes”). By Month 12: the Google Doc contains 50–100 process notes accumulated over 12 months. The handbook is: ORGANIZED and FORMATTED from these notes into the 10-section structure above. This approach takes: 5 minutes per process during Year 1 (real-time documentation) + 4–6 hours in Month 12 to compile into the final handbook. The alternative: trying to remember 12 months of processes in December takes 20–40 hours and misses critical details.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Update cadence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handbook is a LIVING DOCUMENT: update after every significant process change (new supplier, new 3PL, new software tool, new tax obligation). At minimum: review and update QUARTERLY during the pricing review cadence (P8B Section 5). VERSION CONTROL: date each update (“Updated March 2027: added ProAmpac as secondary supplier”). The handbook should always reflect: the CURRENT state of operations, not the historical state.</w:t>
            </w:r>
          </w:p>
        </w:tc>
      </w:tr>
    </w:tbl>
    <w:p>
      <w:r>
        <w:br w:type="page"/>
      </w:r>
    </w:p>
    <w:p>
      <w:pPr>
        <w:pStyle w:val="Heading1"/>
        <w:spacing w:before="360" w:after="200"/>
      </w:pPr>
      <w:r>
        <w:rPr>
          <w:rFonts w:ascii="Arial" w:cs="Arial" w:eastAsia="Arial" w:hAnsi="Arial"/>
        </w:rPr>
        <w:t xml:space="preserve">7. Timeline</w:t>
      </w:r>
    </w:p>
    <w:p>
      <w:pPr>
        <w:spacing w:after="160"/>
      </w:pPr>
      <w:r>
        <w:rPr>
          <w:rFonts w:ascii="Arial" w:cs="Arial" w:eastAsia="Arial" w:hAnsi="Arial"/>
          <w:b/>
          <w:bCs/>
          <w:i w:val="false"/>
          <w:iCs w:val="false"/>
          <w:color w:val="000000"/>
          <w:sz w:val="22"/>
          <w:szCs w:val="22"/>
        </w:rPr>
        <w:t xml:space="preserve">MONTH 11: Begin Year 2 B2B commitment acceleration (Section 5): send early-bird offers to all Year 1 customers, schedule annual review calls. Begin: fundraising evaluation (Section 4): review Year 1 financial trajectory, assess capital needs for Year 2 plan, prepare investor materials if raising. Compile: Year 1 operational notes into handbook draft (Section 6). Design: customer satisfaction surveys (Section 2).</w:t>
      </w:r>
    </w:p>
    <w:p>
      <w:pPr>
        <w:spacing w:after="160"/>
      </w:pPr>
      <w:r>
        <w:rPr>
          <w:rFonts w:ascii="Arial" w:cs="Arial" w:eastAsia="Arial" w:hAnsi="Arial"/>
          <w:b/>
          <w:bCs/>
          <w:i w:val="false"/>
          <w:iCs w:val="false"/>
          <w:color w:val="000000"/>
          <w:sz w:val="22"/>
          <w:szCs w:val="22"/>
        </w:rPr>
        <w:t xml:space="preserve">MONTH 12: Complete Year 1 P&amp;L (Section 1): final month’s data closes the Year 1 books. Send: customer satisfaction surveys to all B2B and DTC customers. Set: Year 2 targets (Section 3) based on Year 1 actuals + pipeline data. Make: the fundraising decision (self-fund, raise, or defer). Finalize: the operational handbook (Section 6). Lock: Year 2 B2B pipeline ($100K+ weighted value target). Place: Year 2 Run 1 production order (P10A Section 5 — PO in January requires: quantities confirmed by late December). Send: Month 12 investor update with “Year 1 in Review” summary (P8B Section 6).</w:t>
      </w:r>
    </w:p>
    <w:p>
      <w:pPr>
        <w:spacing w:after="160"/>
      </w:pPr>
      <w:r>
        <w:rPr>
          <w:rFonts w:ascii="Arial" w:cs="Arial" w:eastAsia="Arial" w:hAnsi="Arial"/>
          <w:b/>
          <w:bCs/>
          <w:i w:val="false"/>
          <w:iCs w:val="false"/>
          <w:color w:val="000000"/>
          <w:sz w:val="22"/>
          <w:szCs w:val="22"/>
        </w:rPr>
        <w:t xml:space="preserve">JANUARY YEAR 2: Year 2 begins. The playbook is complete. The systems are built. The team is formed. The pipeline is loaded. The product is improved. The brand is established. Execution begins.</w:t>
      </w:r>
    </w:p>
    <w:p>
      <w:r>
        <w:br w:type="page"/>
      </w:r>
    </w:p>
    <w:p>
      <w:pPr>
        <w:pStyle w:val="Heading1"/>
        <w:spacing w:before="360" w:after="200"/>
      </w:pPr>
      <w:r>
        <w:rPr>
          <w:rFonts w:ascii="Arial" w:cs="Arial" w:eastAsia="Arial" w:hAnsi="Arial"/>
        </w:rPr>
        <w:t xml:space="preserve">8. Conclusion: The Playbook Is Complete</w:t>
      </w:r>
    </w:p>
    <w:p>
      <w:pPr>
        <w:spacing w:after="160"/>
      </w:pPr>
      <w:r>
        <w:rPr>
          <w:rFonts w:ascii="Arial" w:cs="Arial" w:eastAsia="Arial" w:hAnsi="Arial"/>
          <w:b/>
          <w:bCs/>
          <w:i w:val="false"/>
          <w:iCs w:val="false"/>
          <w:color w:val="000000"/>
          <w:sz w:val="22"/>
          <w:szCs w:val="22"/>
        </w:rPr>
        <w:t xml:space="preserve">From P0A (the first market research document) to P10F (this Year 2 planning document): 60 subprojects, 391 tasks, and ~15,000 paragraphs of operational detail have been created. </w:t>
      </w:r>
      <w:r>
        <w:rPr>
          <w:rFonts w:ascii="Arial" w:cs="Arial" w:eastAsia="Arial" w:hAnsi="Arial"/>
          <w:b w:val="false"/>
          <w:bCs w:val="false"/>
          <w:i w:val="false"/>
          <w:iCs w:val="false"/>
          <w:color w:val="000000"/>
          <w:sz w:val="22"/>
          <w:szCs w:val="22"/>
        </w:rPr>
        <w:t xml:space="preserve">Together, they form: the most comprehensive GTM playbook ever assembled for a sustainable consumer product launch. Every question a founder could ask — from “what material should I use?” (P2A) to “how do I file taxes?” (P8C) to “what should I say on TikTok?” (P7B) — has an answer in this playbook.</w:t>
      </w:r>
    </w:p>
    <w:p>
      <w:pPr>
        <w:spacing w:after="160"/>
      </w:pPr>
      <w:r>
        <w:rPr>
          <w:rFonts w:ascii="Arial" w:cs="Arial" w:eastAsia="Arial" w:hAnsi="Arial"/>
          <w:b/>
          <w:bCs/>
          <w:i w:val="false"/>
          <w:iCs w:val="false"/>
          <w:color w:val="000000"/>
          <w:sz w:val="22"/>
          <w:szCs w:val="22"/>
        </w:rPr>
        <w:t xml:space="preserve">But a playbook on paper is just paper. </w:t>
      </w:r>
      <w:r>
        <w:rPr>
          <w:rFonts w:ascii="Arial" w:cs="Arial" w:eastAsia="Arial" w:hAnsi="Arial"/>
          <w:b w:val="false"/>
          <w:bCs w:val="false"/>
          <w:i w:val="false"/>
          <w:iCs w:val="false"/>
          <w:color w:val="000000"/>
          <w:sz w:val="22"/>
          <w:szCs w:val="22"/>
        </w:rPr>
        <w:t xml:space="preserve">The playbook becomes a BUSINESS when the founder: forms the LLC (P9A), files the trademark (P9B), places the first production order (P3B), ships the first ambassador kit (P7A), closes the first B2B deal (P5B), makes the first sale on Amazon (P6C), composts the first batch of ponchos (P4D), and stands at a start line on a cold morning watching 10,000 runners wearing compostable ponchos instead of garbage bags. That moment — when the vision becomes reality — is what every page of this playbook exists to make possible.</w:t>
      </w:r>
    </w:p>
    <w:p>
      <w:pPr>
        <w:spacing w:after="160"/>
      </w:pPr>
      <w:r>
        <w:rPr>
          <w:rFonts w:ascii="Arial" w:cs="Arial" w:eastAsia="Arial" w:hAnsi="Arial"/>
          <w:b/>
          <w:bCs/>
          <w:i w:val="false"/>
          <w:iCs w:val="false"/>
          <w:color w:val="000000"/>
          <w:sz w:val="22"/>
          <w:szCs w:val="22"/>
        </w:rPr>
        <w:t xml:space="preserve">Race warm. Leave no trace. Build the future of sustainable athletic events. </w:t>
      </w:r>
      <w:r>
        <w:rPr>
          <w:rFonts w:ascii="Arial" w:cs="Arial" w:eastAsia="Arial" w:hAnsi="Arial"/>
          <w:b w:val="false"/>
          <w:bCs w:val="false"/>
          <w:i w:val="false"/>
          <w:iCs w:val="false"/>
          <w:color w:val="000000"/>
          <w:sz w:val="22"/>
          <w:szCs w:val="22"/>
        </w:rPr>
        <w:t xml:space="preserve">The playbook is complete. The execution begins now.</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2026-04-02T13:26:56.779Z</dcterms:created>
  <dcterms:modified xsi:type="dcterms:W3CDTF">2026-04-02T13:26:56.781Z</dcterms:modified>
</cp:coreProperties>
</file>

<file path=docProps/custom.xml><?xml version="1.0" encoding="utf-8"?>
<Properties xmlns="http://schemas.openxmlformats.org/officeDocument/2006/custom-properties" xmlns:vt="http://schemas.openxmlformats.org/officeDocument/2006/docPropsVTypes"/>
</file>