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 CRITICAL EVALUATION</w:t>
      </w:r>
    </w:p>
    <w:p>
      <w:pPr>
        <w:spacing w:after="200"/>
        <w:jc w:val="center"/>
      </w:pPr>
      <w:r>
        <w:rPr>
          <w:rFonts w:ascii="Arial" w:cs="Arial" w:eastAsia="Arial" w:hAnsi="Arial"/>
          <w:b/>
          <w:bCs/>
          <w:color w:val="1B3A6B"/>
          <w:sz w:val="44"/>
          <w:szCs w:val="44"/>
        </w:rPr>
        <w:t xml:space="preserve">&amp; GAP ANALYSIS</w:t>
      </w:r>
    </w:p>
    <w:p>
      <w:pPr>
        <w:pBdr>
          <w:bottom w:val="single" w:color="2E5090" w:sz="6" w:space="12"/>
        </w:pBdr>
        <w:spacing w:after="100"/>
        <w:jc w:val="center"/>
      </w:pPr>
      <w:r>
        <w:rPr>
          <w:rFonts w:ascii="Arial" w:cs="Arial" w:eastAsia="Arial" w:hAnsi="Arial"/>
          <w:color w:val="666666"/>
          <w:sz w:val="24"/>
          <w:szCs w:val="24"/>
        </w:rPr>
        <w:t xml:space="preserve">Comprehensive Audit of All 30 P1 Tasks  |  15 Identified Gaps with Action Items</w:t>
      </w:r>
    </w:p>
    <w:p>
      <w:pPr>
        <w:spacing w:before="600"/>
        <w:jc w:val="center"/>
      </w:pPr>
      <w:r>
        <w:rPr>
          <w:rFonts w:ascii="Arial" w:cs="Arial" w:eastAsia="Arial" w:hAnsi="Arial"/>
          <w:color w:val="888888"/>
          <w:sz w:val="22"/>
          <w:szCs w:val="22"/>
        </w:rPr>
        <w:t xml:space="preserve">March 2026  |  Internal Review Document</w:t>
      </w:r>
    </w:p>
    <w:p>
      <w:r>
        <w:br w:type="page"/>
      </w:r>
    </w:p>
    <w:p>
      <w:pPr>
        <w:pStyle w:val="Heading1"/>
        <w:spacing w:before="360" w:after="200"/>
      </w:pPr>
      <w:r>
        <w:rPr>
          <w:rFonts w:ascii="Arial" w:cs="Arial" w:eastAsia="Arial" w:hAnsi="Arial"/>
        </w:rPr>
        <w:t xml:space="preserve">Executive Assessment</w:t>
      </w:r>
    </w:p>
    <w:p>
      <w:pPr>
        <w:spacing w:after="160"/>
      </w:pPr>
      <w:r>
        <w:rPr>
          <w:rFonts w:ascii="Arial" w:cs="Arial" w:eastAsia="Arial" w:hAnsi="Arial"/>
          <w:b/>
          <w:bCs/>
          <w:i w:val="false"/>
          <w:iCs w:val="false"/>
          <w:color w:val="000000"/>
          <w:sz w:val="22"/>
          <w:szCs w:val="22"/>
        </w:rPr>
        <w:t xml:space="preserve">OVERALL VERDICT: P1 is 80–85% complete and substantially exceeds the typical depth of a brand development package at this stage. </w:t>
      </w:r>
      <w:r>
        <w:rPr>
          <w:rFonts w:ascii="Arial" w:cs="Arial" w:eastAsia="Arial" w:hAnsi="Arial"/>
          <w:b w:val="false"/>
          <w:bCs w:val="false"/>
          <w:i w:val="false"/>
          <w:iCs w:val="false"/>
          <w:color w:val="000000"/>
          <w:sz w:val="22"/>
          <w:szCs w:val="22"/>
        </w:rPr>
        <w:t xml:space="preserve">Of the 30 GTM tracker tasks, 19 are fully complete with actionable, comprehensive content. 7 are structurally complete but have process-only frameworks awaiting live execution (expected at this stage). 4 have identifiable content gaps requiring additional work.</w:t>
      </w:r>
    </w:p>
    <w:p>
      <w:pPr>
        <w:spacing w:after="160"/>
      </w:pPr>
      <w:r>
        <w:rPr>
          <w:rFonts w:ascii="Arial" w:cs="Arial" w:eastAsia="Arial" w:hAnsi="Arial"/>
          <w:b/>
          <w:bCs/>
          <w:i w:val="false"/>
          <w:iCs w:val="false"/>
          <w:color w:val="000000"/>
          <w:sz w:val="22"/>
          <w:szCs w:val="22"/>
        </w:rPr>
        <w:t xml:space="preserve">Beyond task-level coverage, 15 STRATEGIC GAPS were identified </w:t>
      </w:r>
      <w:r>
        <w:rPr>
          <w:rFonts w:ascii="Arial" w:cs="Arial" w:eastAsia="Arial" w:hAnsi="Arial"/>
          <w:b w:val="false"/>
          <w:bCs w:val="false"/>
          <w:i w:val="false"/>
          <w:iCs w:val="false"/>
          <w:color w:val="000000"/>
          <w:sz w:val="22"/>
          <w:szCs w:val="22"/>
        </w:rPr>
        <w:t xml:space="preserve">that fall outside the GTM tracker’s 30 tasks but are essential for a professional, launch-ready brand package. These range from HIGH severity (must fix before launch: pitch deck copy, crisis response plan) to LOW severity (nice-to-have refinements).</w:t>
      </w:r>
    </w:p>
    <w:p>
      <w:pPr>
        <w:spacing w:after="160"/>
      </w:pPr>
      <w:r>
        <w:rPr>
          <w:rFonts w:ascii="Arial" w:cs="Arial" w:eastAsia="Arial" w:hAnsi="Arial"/>
          <w:b w:val="false"/>
          <w:bCs w:val="false"/>
          <w:i w:val="false"/>
          <w:iCs w:val="false"/>
          <w:color w:val="000000"/>
          <w:sz w:val="22"/>
          <w:szCs w:val="22"/>
        </w:rPr>
        <w:t xml:space="preserve">The most critical finding: the B2B pitch deck (Gap #8) has structure but no slide copy, and there is no crisis communication plan (Gap #10). Both are high-risk omissions for a brand built on sustainability claims selling to institutional buyers.</w:t>
      </w:r>
    </w:p>
    <w:p>
      <w:r>
        <w:br w:type="page"/>
      </w:r>
    </w:p>
    <w:p>
      <w:pPr>
        <w:pStyle w:val="Heading1"/>
        <w:spacing w:before="360" w:after="200"/>
      </w:pPr>
      <w:r>
        <w:rPr>
          <w:rFonts w:ascii="Arial" w:cs="Arial" w:eastAsia="Arial" w:hAnsi="Arial"/>
        </w:rPr>
        <w:t xml:space="preserve">1. Severity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20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5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Items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HIGH (must fix before launch)</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Gap #8 (Pitch deck copy), Gap #10 (Crisis response)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MEDIUM-HIGH (fix within 2 weeks)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Gap #5 (Brand guidelines outline), Gap #10 (Crisis response)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MEDIUM (fix within 4 weeks)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Gaps #1, #3, #6, #9, #11, #12, #13, #14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LOW / LOW-MEDIUM (nice to have)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Gaps #2, #4, #7, #15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 COMPLETE (no action needed)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19 of 30 tasks</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Tasks fully covered with actionable, comprehensive content</w:t>
            </w:r>
          </w:p>
        </w:tc>
      </w:tr>
    </w:tbl>
    <w:p>
      <w:r>
        <w:br w:type="page"/>
      </w:r>
    </w:p>
    <w:p>
      <w:pPr>
        <w:pStyle w:val="Heading1"/>
        <w:spacing w:before="360" w:after="200"/>
      </w:pPr>
      <w:r>
        <w:rPr>
          <w:rFonts w:ascii="Arial" w:cs="Arial" w:eastAsia="Arial" w:hAnsi="Arial"/>
        </w:rPr>
        <w:t xml:space="preserve">2. Task-by-Task Audit: All 30 P1 GTM Tracker Tasks</w:t>
      </w:r>
    </w:p>
    <w:p>
      <w:pPr>
        <w:spacing w:after="160"/>
      </w:pPr>
      <w:r>
        <w:rPr>
          <w:rFonts w:ascii="Arial" w:cs="Arial" w:eastAsia="Arial" w:hAnsi="Arial"/>
          <w:b/>
          <w:bCs/>
          <w:i w:val="false"/>
          <w:iCs w:val="false"/>
          <w:color w:val="000000"/>
          <w:sz w:val="22"/>
          <w:szCs w:val="22"/>
        </w:rPr>
        <w:t xml:space="preserve">Each of the 30 P1 tasks from the GTM Master Tracker is evaluated below </w:t>
      </w:r>
      <w:r>
        <w:rPr>
          <w:rFonts w:ascii="Arial" w:cs="Arial" w:eastAsia="Arial" w:hAnsi="Arial"/>
          <w:b w:val="false"/>
          <w:bCs w:val="false"/>
          <w:i w:val="false"/>
          <w:iCs w:val="false"/>
          <w:color w:val="000000"/>
          <w:sz w:val="22"/>
          <w:szCs w:val="22"/>
        </w:rPr>
        <w:t xml:space="preserve">against the actual deliverable content. Status: ✅ COMPLETE = fully actionable; ⚠️ = partially complete or process-only; ❌ = significant gap requiring action.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800"/>
        <w:gridCol w:w="1600"/>
        <w:gridCol w:w="900"/>
        <w:gridCol w:w="27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Task ID</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Task Description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Covered In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Was Delivered</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 Required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Brainstorm 25+ brand name candidates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P1A Sec 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candidates across 6 strategies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exceeds target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USPTO trademark search for top 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P1A Sec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Filing guide + TESS process + trademarkability assessment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PROCESS ONLY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No actual TESS searches were run. Document provides the HOW but not the RESULTS. Need to run live searches on Top 10 names and document cleared/flagged status.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1.03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Verify .com domain + social handles for top 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P1A Sec 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Process documented + tools listed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PROCESS ONLY</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No live availability checks were performed. Need real-time verification for Top 10 names across .com, Instagram, TikTok, X, Facebook, Strava. Document results.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Test 3–5 finalists via runner polls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P1A Sec 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Testing framework with 5 channels + 8 eval criteria + 3-phase protocol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FRAMEWORK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 execution is founder’s action item, but framework is comprehensive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File trademark application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P1A Sec 4.4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TEAS Plus/Standard options, Classes 25+24, $500–$700, timeline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filing instructions are thorough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Secure domain, social handles, Google Workspace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P1A Sec 5.2–5.3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Namechk/KnowEm tools, Google Workspace setup at $6–12/mo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1.07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Define brand positioning statement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 Sec 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Positioning defined: “The first running brand built around the start line”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Minor gap: no formal positioning FRAMEWORK (e.g., For/Who/That/Unlike structure). See Gap #1.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Design logo: 3+ concepts → 1 selected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P1B Sec 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Logo specs, design brief, format requirements, co-brand rules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BRIEF ONLY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Design brief is comprehensive but no actual logo concepts were created. This is expected (designer executes), but the brief lacks a COMPETITIVE LOGO ANALYSIS showing specific logo styles to emulate/avoid. See Gap #2.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1.09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Develop color palette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 Sec 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8-color system with hex codes, usage rules, WCAG accessibility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thorough and actionable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Design product packaging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P1B Sec 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 packaging components with materials, dimensions, design briefs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BRIEF ONLY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Minor gap: QR code strategy mentioned in GTM tracker task but not fully specified in P1B. See Gap #3.</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1.11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Create co-brand template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 Sec 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Template specs, drop zones, design rules, sizing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correctly identified as #1 B2B asset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Design sustainability one-pager / data sheet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Sec 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Front/back content specified in detail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Covered in P1C (messaging) not P1B (design). Cross-reference works, but design specs (bleed, margins, print resolution) are missing. See Gap #4.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1.13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Build brand guidelines document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 Sec 10.1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Mentioned in timeline as Week 8 deliverable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UNDERSPECIFIED</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The brand guidelines document is listed as a deliverable but its TABLE OF CONTENTS and page-by-page structure are not specified. Need a detailed outline of what the guidelines PDF should contain. See Gap #5.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Write brand origin story (250-word + 50-word)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Sec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3 versions written: 250-word DTC, 50-word short, B2B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 excellent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1.15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Develop B2B messaging framework</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 Sec 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7 key messages with headlines, evidence, hierarchy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thorough with email template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Develop DTC messaging framework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Sec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 key messages mapped to 3 personas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1.17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 5+ tagline candidates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 Sec 5 + P1A Sec 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 taglines in P1C, 6 taglines in P1A (some overlap)</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OVERLAP ISSUE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Tagline candidates appear in BOTH P1A and P1C with partial overlap and inconsistent rankings. Need to CONSOLIDATE into a single canonical list with unified testing plan. See Gap #6.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Write product copy: Amazon, Shopify, B2B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Sec 6–8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Amazon title + 5 bullets + description; Shopify full page; B2B data sheet content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 Amazon copy is publication-ready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1.19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Build impact messaging framework</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 Sec 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7 levels from per-poncho to industry scale; legally defensible claims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Storyboard 60–90s brand film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P1D Sec 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9-scene 90s storyboard + 6-scene 60s cut, both with timecodes/audio/notes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 exceptionally detailed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1.21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Produce brand film (guide production)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P1D Sec 3–4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 production tiers ($0–$50K), 7 video cuts, crew/equipment/editing specs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Capture race start-line waste photography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P1D Sec 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7-moment photography guide, target races, legal considerations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Minor gap: no SHOT LIST CHECKLIST (printable one-page reference for race day). See Gap #7.</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1.23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Create product photography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P1D Sec 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9-shot plan mapped to Amazon requirements, DIY + pro guides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Amazon 2026 specs are current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Create B2B pitch deck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P1D Sec 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10-slide structure with content + design notes for each slide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STRUCTURE ONLY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Slide structure is defined but ACTUAL SLIDE COPY (the exact words on each slide) is not written. Deck needs word-for-word speaker notes and bullet text per slide. See Gap #8.</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1.25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Build landing page with email capture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P1E Sec 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8-section blueprint, A/B test plan, Meta ads testing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comprehensive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 up email marketing + welcome sequence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P1E Sec 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Platform comparison, Klaviyo setup checklist, 5-email sequence framework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email copy lives in P1C Sec 13 — cross-reference is clear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1.27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Seed pre-launch list via Reddit, Facebook, Strava</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P1E Sec 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 channels with audience sizes, expected signups, execution guides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1.28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Build B2B prospect list: 50+ race directors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P1E Sec 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 data sources, spreadsheet structure, 3-email outreach sequence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Minor gap: no integration with P0C’s 53-race database — the two lists should be merged. See Gap #9.</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1.29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Create referral incentive program</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P1E Sec 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3-tier program (runner-to-runner, runner-to-RD, RD-to-RD), tool setup</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None — runner-to-RD referral correctly identified as highest-value mechanic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1.30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Partner with 2–3 running influencers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P1E Sec 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5-tier influencer strategy, outreach template, content guidelines, FTC compliance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COMPLETE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w:t>
            </w:r>
          </w:p>
        </w:tc>
      </w:tr>
    </w:tbl>
    <w:p>
      <w:r>
        <w:br w:type="page"/>
      </w:r>
    </w:p>
    <w:p>
      <w:pPr>
        <w:pStyle w:val="Heading1"/>
        <w:spacing w:before="360" w:after="200"/>
      </w:pPr>
      <w:r>
        <w:rPr>
          <w:rFonts w:ascii="Arial" w:cs="Arial" w:eastAsia="Arial" w:hAnsi="Arial"/>
        </w:rPr>
        <w:t xml:space="preserve">3. Strategic Gaps Beyond the 30 Tasks</w:t>
      </w:r>
    </w:p>
    <w:p>
      <w:pPr>
        <w:spacing w:after="160"/>
      </w:pPr>
      <w:r>
        <w:rPr>
          <w:rFonts w:ascii="Arial" w:cs="Arial" w:eastAsia="Arial" w:hAnsi="Arial"/>
          <w:b/>
          <w:bCs/>
          <w:i w:val="false"/>
          <w:iCs w:val="false"/>
          <w:color w:val="000000"/>
          <w:sz w:val="22"/>
          <w:szCs w:val="22"/>
        </w:rPr>
        <w:t xml:space="preserve">These 15 gaps represent strategic blind spots not captured in the GTM tracker’s task list </w:t>
      </w:r>
      <w:r>
        <w:rPr>
          <w:rFonts w:ascii="Arial" w:cs="Arial" w:eastAsia="Arial" w:hAnsi="Arial"/>
          <w:b w:val="false"/>
          <w:bCs w:val="false"/>
          <w:i w:val="false"/>
          <w:iCs w:val="false"/>
          <w:color w:val="000000"/>
          <w:sz w:val="22"/>
          <w:szCs w:val="22"/>
        </w:rPr>
        <w:t xml:space="preserve">but essential for a comprehensive, launch-ready brand. They are ordered by document, not severity.</w:t>
      </w:r>
    </w:p>
    <w:p>
      <w:r>
        <w:br w:type="pag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00"/>
        <w:gridCol w:w="700"/>
        <w:gridCol w:w="2400"/>
        <w:gridCol w:w="2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Gap ID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Gap Description</w:t>
            </w:r>
          </w:p>
        </w:tc>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 Required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MISSING: Formal Brand Positioning Framework</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positioning statement exists (“The first running brand built around the start line”) but lacks a structured framework. Need a formal For/Who/That/Unlike statement AND a brand positioning map plotting the brand vs. competitors on 2 axes (e.g., Warmth Performance vs. Sustainability Commitment). This is the single most important strategic document for briefing designers, writers, and partners.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Create a one-page Brand Positioning Canvas with: (1) For [target], (2) Who [need], (3) [Brand] is the [category], (4) That [key benefit], (5) Unlike [competitors], (6) Our product [differentiator]. Include a 2x2 positioning map with Heatsheets, GreenGear, JOSANTO, and garbage bags plotted.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GAP #2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Competitive Logo Visual Analysis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competitive VISUAL audit (Section 2) covers colors, typography, and mood for 6 brands but does not show or describe the actual LOGO STYLES (icon shapes, wordmark styles, mark+type relationships). A designer receiving the P1B brief has no visual reference for competitive logos to differentiate from.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Add a subsection to P1B Section 5 with 2–3 sentences per competitor describing their logo type (e.g., “Tracksmith: illustrated hare icon + serif wordmark; heritage/academic feel. Allbirds: abstract bird icon + rounded sans wordmark; minimal/approachable”). Include direction: “Our logo should NOT be: a leaf, a globe, a recycling symbol, or any cliché eco icon.”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INCOMPLETE: QR Code Strategy for Packaging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GTM tracker task 1.10 specifically mentions “QR code” on packaging but P1B Section 6 does not specify WHAT the QR code links to, how it’s tracked, or the user flow after scanning.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Add QR code specification to P1B Section 6: QR links to brand-specific landing page (e.g., brand.com/scan) with composting instructions, brand story video, and email capture form. Use dynamic QR (via QR.io or Bitly) so destination URL can be updated without reprinting packaging. Track scans as a KPI (target: 5–10% of poncho users scan).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GAP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Data Sheet Print Production Specs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P1C/P1B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Section 8 provides the CONTENT for the B2B data sheet but neither P1C nor P1B specifies the PRINT PRODUCTION specs: bleed (0.125″), safe zone (0.25″ from edge), resolution (300 DPI), color mode (CMYK for print), paper stock recommendation (recycled 100lb gloss or uncoated), and file format (press-ready PDF/X-1a).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Add a “Print Production Notes” paragraph to either P1B Section 6 or P1C Section 8 specifying: 8.5–11″ final size, 8.75–11.25″ with bleed, 300 DPI minimum, CMYK color, 100lb recycled gloss stock, PDF/X-1a output. Estimated print cost: $0.30–$0.60/sheet at 250+ quantity (Vistaprint, MOO, or local print shop).</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UNDERSPECIFIED: Brand Guidelines Document Structure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MEDIUM-HIGH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Task 1.13 requires a comprehensive brand guidelines document, but P1B only mentions it as a timeline deliverable without defining its TABLE OF CONTENTS. A designer tasked with creating this needs to know exactly what pages to produce.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Add a detailed brand guidelines outline to P1B Section 10: Page 1: Cover (logo + version + date). Pages 2–3: Brand Story + Positioning Statement. Pages 4–5: Logo (primary, secondary, icon-only, clear space, minimum size, do’s/don’ts, color variants). Pages 6–7: Color Palette (hex, RGB, CMYK, Pantone for each color, usage ratios, accessibility). Pages 8–9: Typography (font families, hierarchy, sizing, spacing, web vs. print). Pages 10–11: Photography Style (tone, subjects, editing style, examples of do/don’t). Pages 12–13: Voice &amp; Tone (summary of P1C principles with examples). Pages 14–15: Packaging + Product Application (specs from P1B Sec 6). Pages 16–17: Co-Branding Rules (from P1B Sec 7). Page 18: Digital Assets (social templates, email headers, web banners). Page 19–20: Contact + Version History.</w:t>
            </w:r>
          </w:p>
        </w:tc>
      </w:tr>
    </w:tbl>
    <w:p>
      <w:r>
        <w:br w:type="pag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00"/>
        <w:gridCol w:w="700"/>
        <w:gridCol w:w="2400"/>
        <w:gridCol w:w="2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Gap ID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Gap Description</w:t>
            </w:r>
          </w:p>
        </w:tc>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 Required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INCONSISTENCY: Tagline Candidates Across Documents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P1A + P1C</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P1A Section 7 lists 6 taglines. P1C Section 5 lists 8 taglines. There is partial overlap but different rankings and some taglines appear in one document but not the other. A founder reading both documents would be confused about which list is canonical.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Consolidate into ONE canonical tagline list in P1C (the messaging document is the authoritative source). Update P1A to reference P1C for taglines: “For the full tagline candidate list and testing framework, see P1C Section 5.” The canonical list should contain ALL unique taglines from both documents (deduplicated) with a single unified priority ranking.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GAP #7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Race-Day Photography Shot Checklist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P1D Section 6 provides a detailed time-based photography guide but lacks a PRINTABLE ONE-PAGE CHECKLIST that a founder could take to a race. Race mornings are chaotic — a structured checklist ensures no shots are missed.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Add a one-page “Race-Day Shot Checklist” appendix to P1D with 20–25 specific shots as checkboxes grouped by time window: PRE-RACE (□ bus arrival, □ headlamps in dark, □ coffee cups/cold breath), CORRAL (□ garbage bags on runners, □ thrift-store layers, □ huddled groups, □ golden hour light), START (□ clothing shed in air, □ road covered in garments, □ runners surging), POST-START (□ volunteer collection, □ Goodwill bins, □ clothing mountain, □ empty road after collection).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INCOMPLETE: B2B Pitch Deck Slide Copy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P1D Section 8 provides a 10-slide STRUCTURE with content themes and design notes, but does NOT provide the ACTUAL WORDS on each slide. A founder building the deck still has to write every headline, subhead, and data callout. This is the #1 B2B sales tool — it should be publication-ready.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Write word-for-word content for all 10 slides: exact headline text, subhead text, data callouts, speaker notes (what to say when presenting each slide live), and recommended image descriptions. This should be comprehensive enough that a designer can build the deck without any additional briefing.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GAP #9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P0C ↔ P1E Database Integration Guide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P1E + P0C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P0C created a 53-race prioritized database (Tier 1–3) and P1E Section 5 creates a separate B2B prospect list from 7 sources. These should be MERGED into a single master prospect database, but no document specifies how.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Add a subsection to P1E Section 5: “5.3 Merging P0C and P1E Prospect Lists.” Steps: (1) Export P0C Tier 1–3 races into P1E spreadsheet format. (2) Deduplicate by race name. (3) Add P1E-sourced races that don’t appear in P0C. (4) Enrich with race director contact info from LinkedIn/RunSignUp. Target: 75–100 unique qualified prospects (P0C’s 53 + P1E’s additional sources).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#10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MISSING: Crisis Communication / Negative PR Response Plan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P1</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MEDIUM-HIGH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 P1 document addresses what to say if: (1) a poncho fails at a race (tears, doesn’t keep runner warm), (2) a composting claim is challenged publicly, (3) a greenwashing accusation goes viral, or (4) a competitor publicly attacks the product. A brand this dependent on sustainability claims NEEDS prepared responses BEFORE launch.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Create a “Crisis Response Framework” section (could be added to P1C or as a standalone addendum). Include 4 scenarios with pre-written response templates: (A) Product failure at race — acknowledge + replace + investigate. (B) Composting claim challenge — cite BPI certification + offer to share test data. (C) Greenwashing accusation — invite scrutiny + share Claims Substantiation File. (D) Competitor attack — stay positive, redirect to data, never attack back.</w:t>
            </w:r>
          </w:p>
        </w:tc>
      </w:tr>
    </w:tbl>
    <w:p>
      <w:r>
        <w:br w:type="pag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00"/>
        <w:gridCol w:w="700"/>
        <w:gridCol w:w="2400"/>
        <w:gridCol w:w="2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Gap ID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Gap Description</w:t>
            </w:r>
          </w:p>
        </w:tc>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 Required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#11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MISSING: Accessibility &amp; Inclusivity in Brand Guidelines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P1B covers WCAG color contrast but does NOT address broader accessibility: alt text standards for images, inclusive language guidelines (body diversity in photography, gender-neutral copy, adaptive athletes in imagery), or ADA compliance for the landing page.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Add an “Accessibility &amp; Inclusivity” section to P1B: (1) Alt text: every product image needs descriptive alt text for screen readers. (2) Photography: include diverse runners in all lifestyle imagery (race, body type, age, ability). (3) Copy: use gender-neutral language by default. (4) Landing page: WCAG 2.1 AA compliance, keyboard navigable, screen-reader tested. (5) Sizing: poncho is “one size fits most” — document the actual size range tested and be honest about limitations.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GAP #12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Post-Launch Email Campaigns (Beyond Welcome Sequence)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 P1E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P1C provides a 5-email welcome sequence and P1E references it, but NEITHER document provides post-launch email campaigns: abandoned cart flow, post-purchase flow (review request + referral), re-engagement (lapsed subscribers), race-season campaign calendar, or B2B nurture sequence.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Add a “Post-Launch Email Flows” section to P1C or P1E with 4 automated flows: (1) Cart Abandonment (3 emails over 72 hours). (2) Post-Purchase (Day 3: how-to-use guide, Day 7: review request, Day 14: referral invite). (3) Re-Engagement (Day 60: “We miss you” + 15% off). (4) B2B Nurture (monthly email to race directors: case studies, new race partnerships, pilot data).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MISSING: Amazon A+ Content / Brand Story Module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 + P1D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 provides Amazon bullet points and product description but does NOT address Amazon A+ Content (Enhanced Brand Content), which increases conversion by 3–10%. A+ Content allows rich images, comparison charts, and brand storytelling below the fold. This is a significant conversion driver being left on the table.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Add an “Amazon A+ Content Plan” section to P1C or P1D specifying: Module 1: Brand story header (logo + 250-word origin from P1C). Module 2: 4-image feature grid (warmth, compostable, convenience, poncho fit). Module 3: Comparison chart (our poncho vs. garbage bag vs. Heatsheets vs. GreenGear on 5 criteria). Module 4: Composting lifecycle infographic (4-step from P1D). Module 5: FAQ (3–5 common questions). Requires Brand Registry on Amazon.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GAP #14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MISSING: SEO Content Strategy for Shopify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P1E focuses on email list building and social seeding but does NOT address organic search / SEO for the Shopify store. Target keywords like “compostable poncho,” “marathon start line warmth,” “race day poncho” have low competition and could drive consistent organic traffic at $0 CAC.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ACTION: Add an “SEO Foundation” section to P1E with: (1) 10–15 target keywords with estimated search volume. (2) Blog content plan: 4–6 SEO-optimized articles for Shopify blog (“What to Wear at a Marathon Start Line,” “How to Stay Warm Before a Race,” “Are Compostable Products Really Better?” etc.). (3) On-page SEO checklist for product page (title tag, meta description, H1, image alt text). (4) Timeline: publish 1 blog/week starting Week 8.</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GAP #15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MISSING: International Messaging Considerations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P1C messaging is entirely US-centric. Given P0G’s international expansion roadmap (London, Berlin, Toronto by Year 2), the messaging framework should note where US-specific references would need adaptation (e.g., “NASA” resonates globally but “NYRR” does not; “BPI certified” is US-only, EU needs EN 13432).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ACTION: Add a brief “International Messaging Notes” paragraph to P1C Section 15 flagging: (1) Replace BPI references with EN 13432/TÜV for EU audiences. (2) Swap US race examples for local races (London, Berlin, Toronto). (3) “NASA” technology reference works globally. (4) Price points need local currency conversion. (5) “Leave No Trace” is a US-centric phrase — verify recognition in EU/UK/Canada.</w:t>
            </w:r>
          </w:p>
        </w:tc>
      </w:tr>
    </w:tbl>
    <w:p>
      <w:r>
        <w:br w:type="page"/>
      </w:r>
    </w:p>
    <w:p>
      <w:pPr>
        <w:pStyle w:val="Heading1"/>
        <w:spacing w:before="360" w:after="200"/>
      </w:pPr>
      <w:r>
        <w:rPr>
          <w:rFonts w:ascii="Arial" w:cs="Arial" w:eastAsia="Arial" w:hAnsi="Arial"/>
        </w:rPr>
        <w:t xml:space="preserve">4. Cross-Document Consistency Issues</w:t>
      </w:r>
    </w:p>
    <w:p>
      <w:pPr>
        <w:pStyle w:val="Heading2"/>
        <w:spacing w:before="280" w:after="160"/>
      </w:pPr>
      <w:r>
        <w:rPr>
          <w:rFonts w:ascii="Arial" w:cs="Arial" w:eastAsia="Arial" w:hAnsi="Arial"/>
        </w:rPr>
        <w:t xml:space="preserve">4.1 Tagline Duplication (P1A ↔ P1C)</w:t>
      </w:r>
    </w:p>
    <w:p>
      <w:pPr>
        <w:spacing w:after="160"/>
      </w:pPr>
      <w:r>
        <w:rPr>
          <w:rFonts w:ascii="Arial" w:cs="Arial" w:eastAsia="Arial" w:hAnsi="Arial"/>
          <w:b w:val="false"/>
          <w:bCs w:val="false"/>
          <w:i w:val="false"/>
          <w:iCs w:val="false"/>
          <w:color w:val="000000"/>
          <w:sz w:val="22"/>
          <w:szCs w:val="22"/>
        </w:rPr>
        <w:t xml:space="preserve">P1A Section 7 contains 6 tagline candidates. P1C Section 5 contains 8 tagline candidates. Some overlap, some are unique to one document. The rankings differ. A founder would not know which list is authoritative. ACTION: P1C should be the canonical source. P1A should cross-reference P1C for taglines.</w:t>
      </w:r>
    </w:p>
    <w:p>
      <w:pPr>
        <w:pStyle w:val="Heading2"/>
        <w:spacing w:before="280" w:after="160"/>
      </w:pPr>
      <w:r>
        <w:rPr>
          <w:rFonts w:ascii="Arial" w:cs="Arial" w:eastAsia="Arial" w:hAnsi="Arial"/>
        </w:rPr>
        <w:t xml:space="preserve">4.2 Brand Voice Definition Location</w:t>
      </w:r>
    </w:p>
    <w:p>
      <w:pPr>
        <w:spacing w:after="160"/>
      </w:pPr>
      <w:r>
        <w:rPr>
          <w:rFonts w:ascii="Arial" w:cs="Arial" w:eastAsia="Arial" w:hAnsi="Arial"/>
          <w:b w:val="false"/>
          <w:bCs w:val="false"/>
          <w:i w:val="false"/>
          <w:iCs w:val="false"/>
          <w:color w:val="000000"/>
          <w:sz w:val="22"/>
          <w:szCs w:val="22"/>
        </w:rPr>
        <w:t xml:space="preserve">Brand voice principles live in P1C Section 2, but P1B Section 1 also defines what the brand should “feel like.” These are complementary but could create confusion for a designer who reads P1B but not P1C. ACTION: P1B should explicitly reference P1C Section 2 for brand voice, and include a 2–3 sentence summary only.</w:t>
      </w:r>
    </w:p>
    <w:p>
      <w:pPr>
        <w:pStyle w:val="Heading2"/>
        <w:spacing w:before="280" w:after="160"/>
      </w:pPr>
      <w:r>
        <w:rPr>
          <w:rFonts w:ascii="Arial" w:cs="Arial" w:eastAsia="Arial" w:hAnsi="Arial"/>
        </w:rPr>
        <w:t xml:space="preserve">4.3 B2B Data Sheet: Split Across Two Documents</w:t>
      </w:r>
    </w:p>
    <w:p>
      <w:pPr>
        <w:spacing w:after="160"/>
      </w:pPr>
      <w:r>
        <w:rPr>
          <w:rFonts w:ascii="Arial" w:cs="Arial" w:eastAsia="Arial" w:hAnsi="Arial"/>
          <w:b w:val="false"/>
          <w:bCs w:val="false"/>
          <w:i w:val="false"/>
          <w:iCs w:val="false"/>
          <w:color w:val="000000"/>
          <w:sz w:val="22"/>
          <w:szCs w:val="22"/>
        </w:rPr>
        <w:t xml:space="preserve">The data sheet CONTENT is in P1C Section 8. The data sheet DESIGN specs are in P1B Section 6 (partially). The data sheet PRINT PRODUCTION specs are missing entirely (Gap #4). A designer producing this asset needs to reference 2–3 documents. ACTION: Create a single cross-reference note at the top of P1C Section 8: “For design specs, see P1B Section 6. For print production specs, see [new section].”</w:t>
      </w:r>
    </w:p>
    <w:p>
      <w:pPr>
        <w:pStyle w:val="Heading2"/>
        <w:spacing w:before="280" w:after="160"/>
      </w:pPr>
      <w:r>
        <w:rPr>
          <w:rFonts w:ascii="Arial" w:cs="Arial" w:eastAsia="Arial" w:hAnsi="Arial"/>
        </w:rPr>
        <w:t xml:space="preserve">4.4 Email Sequence: Split Across Two Documents</w:t>
      </w:r>
    </w:p>
    <w:p>
      <w:pPr>
        <w:spacing w:after="160"/>
      </w:pPr>
      <w:r>
        <w:rPr>
          <w:rFonts w:ascii="Arial" w:cs="Arial" w:eastAsia="Arial" w:hAnsi="Arial"/>
          <w:b w:val="false"/>
          <w:bCs w:val="false"/>
          <w:i w:val="false"/>
          <w:iCs w:val="false"/>
          <w:color w:val="000000"/>
          <w:sz w:val="22"/>
          <w:szCs w:val="22"/>
        </w:rPr>
        <w:t xml:space="preserve">Full email copy is in P1C Section 13. Performance framework and optimization strategy is in P1E Section 3. This split is intentional and logical (messaging vs. operations), but P1E should explicitly state “Full copy for all 5 emails is in P1C Section 13” at the top of Section 3. Currently it does (verified) — no action needed.</w:t>
      </w:r>
    </w:p>
    <w:p>
      <w:pPr>
        <w:pStyle w:val="Heading2"/>
        <w:spacing w:before="280" w:after="160"/>
      </w:pPr>
      <w:r>
        <w:rPr>
          <w:rFonts w:ascii="Arial" w:cs="Arial" w:eastAsia="Arial" w:hAnsi="Arial"/>
        </w:rPr>
        <w:t xml:space="preserve">4.5 Pricing References</w:t>
      </w:r>
    </w:p>
    <w:p>
      <w:pPr>
        <w:spacing w:after="160"/>
      </w:pPr>
      <w:r>
        <w:rPr>
          <w:rFonts w:ascii="Arial" w:cs="Arial" w:eastAsia="Arial" w:hAnsi="Arial"/>
          <w:b w:val="false"/>
          <w:bCs w:val="false"/>
          <w:i w:val="false"/>
          <w:iCs w:val="false"/>
          <w:color w:val="000000"/>
          <w:sz w:val="22"/>
          <w:szCs w:val="22"/>
        </w:rPr>
        <w:t xml:space="preserve">P1C Amazon bullets reference “BPI certified” and “95% body heat” — both claims that require substantiation. P1C Section 11 covers FTC compliance. P1E Section 1.2 mentions Meta ads. All pricing references ($9.99, $24.99 3-pack, $44.99 5-pack) are consistent across P1C and P1E. No inconsistencies found.</w:t>
      </w:r>
    </w:p>
    <w:p>
      <w:r>
        <w:br w:type="page"/>
      </w:r>
    </w:p>
    <w:p>
      <w:pPr>
        <w:pStyle w:val="Heading1"/>
        <w:spacing w:before="360" w:after="200"/>
      </w:pPr>
      <w:r>
        <w:rPr>
          <w:rFonts w:ascii="Arial" w:cs="Arial" w:eastAsia="Arial" w:hAnsi="Arial"/>
        </w:rPr>
        <w:t xml:space="preserve">5. Quality Assessment by Document</w:t>
      </w:r>
    </w:p>
    <w:p>
      <w:pPr>
        <w:pStyle w:val="Heading2"/>
        <w:spacing w:before="280" w:after="160"/>
      </w:pPr>
      <w:r>
        <w:rPr>
          <w:rFonts w:ascii="Arial" w:cs="Arial" w:eastAsia="Arial" w:hAnsi="Arial"/>
        </w:rPr>
        <w:t xml:space="preserve">5.1 P1A: Brand Naming &amp; Trademark — Grade: A-</w:t>
      </w:r>
    </w:p>
    <w:p>
      <w:pPr>
        <w:spacing w:after="160"/>
      </w:pPr>
      <w:r>
        <w:rPr>
          <w:rFonts w:ascii="Arial" w:cs="Arial" w:eastAsia="Arial" w:hAnsi="Arial"/>
          <w:b w:val="false"/>
          <w:bCs w:val="false"/>
          <w:i w:val="false"/>
          <w:iCs w:val="false"/>
          <w:color w:val="000000"/>
          <w:sz w:val="22"/>
          <w:szCs w:val="22"/>
        </w:rPr>
        <w:t xml:space="preserve">Strengths: 30+ candidates across 6 strategies exceeds the 25+ target. Top 10 shortlist is well-reasoned. Trademark filing guide is thorough. Testing framework is sophisticated (3-phase with PickFu quantitative validation). Weaknesses: No actual TESS searches performed. No live domain checks. Tagline overlap with P1C.</w:t>
      </w:r>
    </w:p>
    <w:p>
      <w:pPr>
        <w:pStyle w:val="Heading2"/>
        <w:spacing w:before="280" w:after="160"/>
      </w:pPr>
      <w:r>
        <w:rPr>
          <w:rFonts w:ascii="Arial" w:cs="Arial" w:eastAsia="Arial" w:hAnsi="Arial"/>
        </w:rPr>
        <w:t xml:space="preserve">5.2 P1B: Visual Identity &amp; Design System — Grade: B+</w:t>
      </w:r>
    </w:p>
    <w:p>
      <w:pPr>
        <w:spacing w:after="160"/>
      </w:pPr>
      <w:r>
        <w:rPr>
          <w:rFonts w:ascii="Arial" w:cs="Arial" w:eastAsia="Arial" w:hAnsi="Arial"/>
          <w:b w:val="false"/>
          <w:bCs w:val="false"/>
          <w:i w:val="false"/>
          <w:iCs w:val="false"/>
          <w:color w:val="000000"/>
          <w:sz w:val="22"/>
          <w:szCs w:val="22"/>
        </w:rPr>
        <w:t xml:space="preserve">Strengths: 8-color palette with hex codes and WCAG compliance. Typography system is professional. Logo brief is detailed. Competitive visual audit covers 6 brands. Moodboard effectively defines the “dawn warmth” territory. Weaknesses: Brand guidelines outline is missing (Gap #5). No competitive logo analysis (Gap #2). QR code strategy incomplete (Gap #3). No accessibility/inclusivity section (Gap #11).</w:t>
      </w:r>
    </w:p>
    <w:p>
      <w:pPr>
        <w:pStyle w:val="Heading2"/>
        <w:spacing w:before="280" w:after="160"/>
      </w:pPr>
      <w:r>
        <w:rPr>
          <w:rFonts w:ascii="Arial" w:cs="Arial" w:eastAsia="Arial" w:hAnsi="Arial"/>
        </w:rPr>
        <w:t xml:space="preserve">5.3 P1C: Brand Messaging &amp; Story — Grade: A</w:t>
      </w:r>
    </w:p>
    <w:p>
      <w:pPr>
        <w:spacing w:after="160"/>
      </w:pPr>
      <w:r>
        <w:rPr>
          <w:rFonts w:ascii="Arial" w:cs="Arial" w:eastAsia="Arial" w:hAnsi="Arial"/>
          <w:b w:val="false"/>
          <w:bCs w:val="false"/>
          <w:i w:val="false"/>
          <w:iCs w:val="false"/>
          <w:color w:val="000000"/>
          <w:sz w:val="22"/>
          <w:szCs w:val="22"/>
        </w:rPr>
        <w:t xml:space="preserve">Strengths: The most comprehensive P1 document. Origin story in 3 versions. 5-principle brand voice with channel-specific application. 7+7 B2B/DTC messages with persona mapping. Amazon copy is publication-ready. FTC compliance framework is a standout addition. Competitive messaging teardown adds strategic depth. 5-email welcome sequence with full copy. 30+ social media post concepts. Weaknesses: No post-launch email flows (Gap #12). No Amazon A+ Content plan (Gap #13). No international messaging notes (Gap #15). Tagline overlap with P1A (Gap #6).</w:t>
      </w:r>
    </w:p>
    <w:p>
      <w:pPr>
        <w:pStyle w:val="Heading2"/>
        <w:spacing w:before="280" w:after="160"/>
      </w:pPr>
      <w:r>
        <w:rPr>
          <w:rFonts w:ascii="Arial" w:cs="Arial" w:eastAsia="Arial" w:hAnsi="Arial"/>
        </w:rPr>
        <w:t xml:space="preserve">5.4 P1D: Brand Film &amp; Visual Content — Grade: A-</w:t>
      </w:r>
    </w:p>
    <w:p>
      <w:pPr>
        <w:spacing w:after="160"/>
      </w:pPr>
      <w:r>
        <w:rPr>
          <w:rFonts w:ascii="Arial" w:cs="Arial" w:eastAsia="Arial" w:hAnsi="Arial"/>
          <w:b w:val="false"/>
          <w:bCs w:val="false"/>
          <w:i w:val="false"/>
          <w:iCs w:val="false"/>
          <w:color w:val="000000"/>
          <w:sz w:val="22"/>
          <w:szCs w:val="22"/>
        </w:rPr>
        <w:t xml:space="preserve">Strengths: 90s storyboard is exceptionally detailed (9 scenes with timecodes, audio, production notes). 4 production tiers make it executable at any budget. 9-shot Amazon photography plan matches 2026 requirements. FLIR thermal camera section is a brilliant addition. 10-slide pitch deck structure is solid. Weaknesses: Pitch deck has structure but NO SLIDE COPY (Gap #8 — HIGH severity). No race-day shot checklist (Gap #7).</w:t>
      </w:r>
    </w:p>
    <w:p>
      <w:pPr>
        <w:pStyle w:val="Heading2"/>
        <w:spacing w:before="280" w:after="160"/>
      </w:pPr>
      <w:r>
        <w:rPr>
          <w:rFonts w:ascii="Arial" w:cs="Arial" w:eastAsia="Arial" w:hAnsi="Arial"/>
        </w:rPr>
        <w:t xml:space="preserve">5.5 P1E: Pre-Launch List Building — Grade: A</w:t>
      </w:r>
    </w:p>
    <w:p>
      <w:pPr>
        <w:spacing w:after="160"/>
      </w:pPr>
      <w:r>
        <w:rPr>
          <w:rFonts w:ascii="Arial" w:cs="Arial" w:eastAsia="Arial" w:hAnsi="Arial"/>
          <w:b w:val="false"/>
          <w:bCs w:val="false"/>
          <w:i w:val="false"/>
          <w:iCs w:val="false"/>
          <w:color w:val="000000"/>
          <w:sz w:val="22"/>
          <w:szCs w:val="22"/>
        </w:rPr>
        <w:t xml:space="preserve">Strengths: The most operationally complete document. 8-section landing page blueprint with A/B test plan. Email platform comparison is data-driven. 8 seeding channels with expected signup volumes. B2B prospect methodology is thorough. Referral program correctly identifies runner-to-RD as highest-value. Tech stack and budget ($414–$644) are actionable. Weaknesses: No SEO/blog strategy (Gap #14). No P0C database integration guide (Gap #9).</w:t>
      </w:r>
    </w:p>
    <w:p>
      <w:r>
        <w:br w:type="page"/>
      </w:r>
    </w:p>
    <w:p>
      <w:pPr>
        <w:pStyle w:val="Heading1"/>
        <w:spacing w:before="360" w:after="200"/>
      </w:pPr>
      <w:r>
        <w:rPr>
          <w:rFonts w:ascii="Arial" w:cs="Arial" w:eastAsia="Arial" w:hAnsi="Arial"/>
        </w:rPr>
        <w:t xml:space="preserve">6. Priority Action List: What to Fix and When</w:t>
      </w:r>
    </w:p>
    <w:p>
      <w:pPr>
        <w:pStyle w:val="Heading2"/>
        <w:spacing w:before="280" w:after="160"/>
      </w:pPr>
      <w:r>
        <w:rPr>
          <w:rFonts w:ascii="Arial" w:cs="Arial" w:eastAsia="Arial" w:hAnsi="Arial"/>
        </w:rPr>
        <w:t xml:space="preserve">6.1 BEFORE LAUNCH (Must Complete)</w:t>
      </w:r>
    </w:p>
    <w:p>
      <w:pPr>
        <w:spacing w:after="160"/>
      </w:pPr>
      <w:r>
        <w:rPr>
          <w:rFonts w:ascii="Arial" w:cs="Arial" w:eastAsia="Arial" w:hAnsi="Arial"/>
          <w:b/>
          <w:bCs/>
          <w:i w:val="false"/>
          <w:iCs w:val="false"/>
          <w:color w:val="000000"/>
          <w:sz w:val="22"/>
          <w:szCs w:val="22"/>
        </w:rPr>
        <w:t xml:space="preserve">Gap #8: Write word-for-word pitch deck slide copy </w:t>
      </w:r>
      <w:r>
        <w:rPr>
          <w:rFonts w:ascii="Arial" w:cs="Arial" w:eastAsia="Arial" w:hAnsi="Arial"/>
          <w:b w:val="false"/>
          <w:bCs w:val="false"/>
          <w:i w:val="false"/>
          <w:iCs w:val="false"/>
          <w:color w:val="000000"/>
          <w:sz w:val="22"/>
          <w:szCs w:val="22"/>
        </w:rPr>
        <w:t xml:space="preserve">with headlines, subheads, data callouts, and speaker notes for all 10 slides. This is the #1 B2B sales tool. Estimated effort: 3–4 hours.</w:t>
      </w:r>
    </w:p>
    <w:p>
      <w:pPr>
        <w:spacing w:after="160"/>
      </w:pPr>
      <w:r>
        <w:rPr>
          <w:rFonts w:ascii="Arial" w:cs="Arial" w:eastAsia="Arial" w:hAnsi="Arial"/>
          <w:b/>
          <w:bCs/>
          <w:i w:val="false"/>
          <w:iCs w:val="false"/>
          <w:color w:val="000000"/>
          <w:sz w:val="22"/>
          <w:szCs w:val="22"/>
        </w:rPr>
        <w:t xml:space="preserve">Gap #10: Create crisis communication response templates </w:t>
      </w:r>
      <w:r>
        <w:rPr>
          <w:rFonts w:ascii="Arial" w:cs="Arial" w:eastAsia="Arial" w:hAnsi="Arial"/>
          <w:b w:val="false"/>
          <w:bCs w:val="false"/>
          <w:i w:val="false"/>
          <w:iCs w:val="false"/>
          <w:color w:val="000000"/>
          <w:sz w:val="22"/>
          <w:szCs w:val="22"/>
        </w:rPr>
        <w:t xml:space="preserve">for 4 scenarios: product failure, composting claim challenge, greenwashing accusation, competitor attack. Estimated effort: 2–3 hours.</w:t>
      </w:r>
    </w:p>
    <w:p>
      <w:pPr>
        <w:spacing w:after="160"/>
      </w:pPr>
      <w:r>
        <w:rPr>
          <w:rFonts w:ascii="Arial" w:cs="Arial" w:eastAsia="Arial" w:hAnsi="Arial"/>
          <w:b/>
          <w:bCs/>
          <w:i w:val="false"/>
          <w:iCs w:val="false"/>
          <w:color w:val="000000"/>
          <w:sz w:val="22"/>
          <w:szCs w:val="22"/>
        </w:rPr>
        <w:t xml:space="preserve">Task 1.02 + 1.03: Run live USPTO TESS searches and domain/handle checks </w:t>
      </w:r>
      <w:r>
        <w:rPr>
          <w:rFonts w:ascii="Arial" w:cs="Arial" w:eastAsia="Arial" w:hAnsi="Arial"/>
          <w:b w:val="false"/>
          <w:bCs w:val="false"/>
          <w:i w:val="false"/>
          <w:iCs w:val="false"/>
          <w:color w:val="000000"/>
          <w:sz w:val="22"/>
          <w:szCs w:val="22"/>
        </w:rPr>
        <w:t xml:space="preserve">for Top 10 name candidates. Document results with cleared/flagged status. Estimated effort: 2–3 hours.</w:t>
      </w:r>
    </w:p>
    <w:p>
      <w:pPr>
        <w:pStyle w:val="Heading2"/>
        <w:spacing w:before="280" w:after="160"/>
      </w:pPr>
      <w:r>
        <w:rPr>
          <w:rFonts w:ascii="Arial" w:cs="Arial" w:eastAsia="Arial" w:hAnsi="Arial"/>
        </w:rPr>
        <w:t xml:space="preserve">6.2 WITHIN 2 WEEKS OF LAUNCH</w:t>
      </w:r>
    </w:p>
    <w:p>
      <w:pPr>
        <w:spacing w:after="160"/>
      </w:pPr>
      <w:r>
        <w:rPr>
          <w:rFonts w:ascii="Arial" w:cs="Arial" w:eastAsia="Arial" w:hAnsi="Arial"/>
          <w:b/>
          <w:bCs/>
          <w:i w:val="false"/>
          <w:iCs w:val="false"/>
          <w:color w:val="000000"/>
          <w:sz w:val="22"/>
          <w:szCs w:val="22"/>
        </w:rPr>
        <w:t xml:space="preserve">Gap #5: Write full brand guidelines table of contents and outline </w:t>
      </w:r>
      <w:r>
        <w:rPr>
          <w:rFonts w:ascii="Arial" w:cs="Arial" w:eastAsia="Arial" w:hAnsi="Arial"/>
          <w:b w:val="false"/>
          <w:bCs w:val="false"/>
          <w:i w:val="false"/>
          <w:iCs w:val="false"/>
          <w:color w:val="000000"/>
          <w:sz w:val="22"/>
          <w:szCs w:val="22"/>
        </w:rPr>
        <w:t xml:space="preserve">(20-page document structure). Estimated effort: 1–2 hours.</w:t>
      </w:r>
    </w:p>
    <w:p>
      <w:pPr>
        <w:spacing w:after="160"/>
      </w:pPr>
      <w:r>
        <w:rPr>
          <w:rFonts w:ascii="Arial" w:cs="Arial" w:eastAsia="Arial" w:hAnsi="Arial"/>
          <w:b/>
          <w:bCs/>
          <w:i w:val="false"/>
          <w:iCs w:val="false"/>
          <w:color w:val="000000"/>
          <w:sz w:val="22"/>
          <w:szCs w:val="22"/>
        </w:rPr>
        <w:t xml:space="preserve">Gap #12: Write post-launch email flows </w:t>
      </w:r>
      <w:r>
        <w:rPr>
          <w:rFonts w:ascii="Arial" w:cs="Arial" w:eastAsia="Arial" w:hAnsi="Arial"/>
          <w:b w:val="false"/>
          <w:bCs w:val="false"/>
          <w:i w:val="false"/>
          <w:iCs w:val="false"/>
          <w:color w:val="000000"/>
          <w:sz w:val="22"/>
          <w:szCs w:val="22"/>
        </w:rPr>
        <w:t xml:space="preserve">(cart abandonment, post-purchase review request, re-engagement, B2B nurture). Estimated effort: 3–4 hours.</w:t>
      </w:r>
    </w:p>
    <w:p>
      <w:pPr>
        <w:spacing w:after="160"/>
      </w:pPr>
      <w:r>
        <w:rPr>
          <w:rFonts w:ascii="Arial" w:cs="Arial" w:eastAsia="Arial" w:hAnsi="Arial"/>
          <w:b/>
          <w:bCs/>
          <w:i w:val="false"/>
          <w:iCs w:val="false"/>
          <w:color w:val="000000"/>
          <w:sz w:val="22"/>
          <w:szCs w:val="22"/>
        </w:rPr>
        <w:t xml:space="preserve">Gap #13: Plan Amazon A+ Content modules </w:t>
      </w:r>
      <w:r>
        <w:rPr>
          <w:rFonts w:ascii="Arial" w:cs="Arial" w:eastAsia="Arial" w:hAnsi="Arial"/>
          <w:b w:val="false"/>
          <w:bCs w:val="false"/>
          <w:i w:val="false"/>
          <w:iCs w:val="false"/>
          <w:color w:val="000000"/>
          <w:sz w:val="22"/>
          <w:szCs w:val="22"/>
        </w:rPr>
        <w:t xml:space="preserve">(brand story, feature grid, comparison chart, composting lifecycle, FAQ). Estimated effort: 2–3 hours. Requires Amazon Brand Registry.</w:t>
      </w:r>
    </w:p>
    <w:p>
      <w:pPr>
        <w:pStyle w:val="Heading2"/>
        <w:spacing w:before="280" w:after="160"/>
      </w:pPr>
      <w:r>
        <w:rPr>
          <w:rFonts w:ascii="Arial" w:cs="Arial" w:eastAsia="Arial" w:hAnsi="Arial"/>
        </w:rPr>
        <w:t xml:space="preserve">6.3 WITHIN 4 WEEKS (Optimization)</w:t>
      </w:r>
    </w:p>
    <w:p>
      <w:pPr>
        <w:spacing w:after="160"/>
      </w:pPr>
      <w:r>
        <w:rPr>
          <w:rFonts w:ascii="Arial" w:cs="Arial" w:eastAsia="Arial" w:hAnsi="Arial"/>
          <w:b/>
          <w:bCs/>
          <w:i w:val="false"/>
          <w:iCs w:val="false"/>
          <w:color w:val="000000"/>
          <w:sz w:val="22"/>
          <w:szCs w:val="22"/>
        </w:rPr>
        <w:t xml:space="preserve">Gaps #1, #3, #6, #9, #11, #14: </w:t>
      </w:r>
      <w:r>
        <w:rPr>
          <w:rFonts w:ascii="Arial" w:cs="Arial" w:eastAsia="Arial" w:hAnsi="Arial"/>
          <w:b w:val="false"/>
          <w:bCs w:val="false"/>
          <w:i w:val="false"/>
          <w:iCs w:val="false"/>
          <w:color w:val="000000"/>
          <w:sz w:val="22"/>
          <w:szCs w:val="22"/>
        </w:rPr>
        <w:t xml:space="preserve">Brand positioning canvas, QR code strategy, tagline consolidation, P0C↔P1E database merge, accessibility guidelines, SEO blog plan. Total estimated effort: 6–8 hours across all items.</w:t>
      </w:r>
    </w:p>
    <w:p>
      <w:pPr>
        <w:pStyle w:val="Heading2"/>
        <w:spacing w:before="280" w:after="160"/>
      </w:pPr>
      <w:r>
        <w:rPr>
          <w:rFonts w:ascii="Arial" w:cs="Arial" w:eastAsia="Arial" w:hAnsi="Arial"/>
        </w:rPr>
        <w:t xml:space="preserve">6.4 NICE-TO-HAVE (When Time Allows)</w:t>
      </w:r>
    </w:p>
    <w:p>
      <w:pPr>
        <w:spacing w:after="160"/>
      </w:pPr>
      <w:r>
        <w:rPr>
          <w:rFonts w:ascii="Arial" w:cs="Arial" w:eastAsia="Arial" w:hAnsi="Arial"/>
          <w:b/>
          <w:bCs/>
          <w:i w:val="false"/>
          <w:iCs w:val="false"/>
          <w:color w:val="000000"/>
          <w:sz w:val="22"/>
          <w:szCs w:val="22"/>
        </w:rPr>
        <w:t xml:space="preserve">Gaps #2, #4, #7, #15: </w:t>
      </w:r>
      <w:r>
        <w:rPr>
          <w:rFonts w:ascii="Arial" w:cs="Arial" w:eastAsia="Arial" w:hAnsi="Arial"/>
          <w:b w:val="false"/>
          <w:bCs w:val="false"/>
          <w:i w:val="false"/>
          <w:iCs w:val="false"/>
          <w:color w:val="000000"/>
          <w:sz w:val="22"/>
          <w:szCs w:val="22"/>
        </w:rPr>
        <w:t xml:space="preserve">Competitive logo analysis, print production specs, race-day shot checklist, international messaging notes. Total estimated effort: 2–3 hours.</w:t>
      </w:r>
    </w:p>
    <w:p>
      <w:r>
        <w:br w:type="page"/>
      </w:r>
    </w:p>
    <w:p>
      <w:pPr>
        <w:pStyle w:val="Heading1"/>
        <w:spacing w:before="360" w:after="200"/>
      </w:pPr>
      <w:r>
        <w:rPr>
          <w:rFonts w:ascii="Arial" w:cs="Arial" w:eastAsia="Arial" w:hAnsi="Arial"/>
        </w:rPr>
        <w:t xml:space="preserve">7. Final Verdict</w:t>
      </w:r>
    </w:p>
    <w:p>
      <w:pPr>
        <w:spacing w:after="160"/>
      </w:pPr>
      <w:r>
        <w:rPr>
          <w:rFonts w:ascii="Arial" w:cs="Arial" w:eastAsia="Arial" w:hAnsi="Arial"/>
          <w:b/>
          <w:bCs/>
          <w:i w:val="false"/>
          <w:iCs w:val="false"/>
          <w:color w:val="000000"/>
          <w:sz w:val="22"/>
          <w:szCs w:val="22"/>
        </w:rPr>
        <w:t xml:space="preserve">P1 is a strong, substantially complete brand development package. </w:t>
      </w:r>
      <w:r>
        <w:rPr>
          <w:rFonts w:ascii="Arial" w:cs="Arial" w:eastAsia="Arial" w:hAnsi="Arial"/>
          <w:b w:val="false"/>
          <w:bCs w:val="false"/>
          <w:i w:val="false"/>
          <w:iCs w:val="false"/>
          <w:color w:val="000000"/>
          <w:sz w:val="22"/>
          <w:szCs w:val="22"/>
        </w:rPr>
        <w:t xml:space="preserve">The 5 documents contain ~1,870 paragraphs of original research-backed content spanning naming, visual identity, messaging, content production, and pre-launch operations. The quality of the messaging framework (P1C) and the visual content production plan (P1D) is exceptional.</w:t>
      </w:r>
    </w:p>
    <w:p>
      <w:pPr>
        <w:spacing w:after="160"/>
      </w:pPr>
      <w:r>
        <w:rPr>
          <w:rFonts w:ascii="Arial" w:cs="Arial" w:eastAsia="Arial" w:hAnsi="Arial"/>
          <w:b/>
          <w:bCs/>
          <w:i w:val="false"/>
          <w:iCs w:val="false"/>
          <w:color w:val="000000"/>
          <w:sz w:val="22"/>
          <w:szCs w:val="22"/>
        </w:rPr>
        <w:t xml:space="preserve">The 15 gaps identified are refinements, not rebuilds. </w:t>
      </w:r>
      <w:r>
        <w:rPr>
          <w:rFonts w:ascii="Arial" w:cs="Arial" w:eastAsia="Arial" w:hAnsi="Arial"/>
          <w:b w:val="false"/>
          <w:bCs w:val="false"/>
          <w:i w:val="false"/>
          <w:iCs w:val="false"/>
          <w:color w:val="000000"/>
          <w:sz w:val="22"/>
          <w:szCs w:val="22"/>
        </w:rPr>
        <w:t xml:space="preserve">The two HIGH-severity items (pitch deck copy and crisis response) require approximately 5–7 hours of additional work. The remaining gaps require approximately 15–20 hours total. Once these are addressed, P1 will be one of the most comprehensive brand development packages for a pre-launch DTC product at this investment level.</w:t>
      </w:r>
    </w:p>
    <w:p>
      <w:pPr>
        <w:spacing w:after="160"/>
      </w:pPr>
      <w:r>
        <w:rPr>
          <w:rFonts w:ascii="Arial" w:cs="Arial" w:eastAsia="Arial" w:hAnsi="Arial"/>
          <w:b/>
          <w:bCs/>
          <w:i w:val="false"/>
          <w:iCs w:val="false"/>
          <w:color w:val="000000"/>
          <w:sz w:val="22"/>
          <w:szCs w:val="22"/>
        </w:rPr>
        <w:t xml:space="preserve">The most important next step: </w:t>
      </w:r>
      <w:r>
        <w:rPr>
          <w:rFonts w:ascii="Arial" w:cs="Arial" w:eastAsia="Arial" w:hAnsi="Arial"/>
          <w:b w:val="false"/>
          <w:bCs w:val="false"/>
          <w:i w:val="false"/>
          <w:iCs w:val="false"/>
          <w:color w:val="000000"/>
          <w:sz w:val="22"/>
          <w:szCs w:val="22"/>
        </w:rPr>
        <w:t xml:space="preserve">before moving to P2 (Product Design &amp; Engineering), fix Gap #8 (pitch deck copy) and Gap #10 (crisis response). These are the two items most likely to be needed DURING P2 execution, as material suppliers and race directors will request the pitch deck and the brand must be prepared for public-facing sustainability claims from Day 1 of B2B outreach.</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2026-03-18T14:25:58.057Z</dcterms:created>
  <dcterms:modified xsi:type="dcterms:W3CDTF">2026-03-18T14:25:58.058Z</dcterms:modified>
</cp:coreProperties>
</file>

<file path=docProps/custom.xml><?xml version="1.0" encoding="utf-8"?>
<Properties xmlns="http://schemas.openxmlformats.org/officeDocument/2006/custom-properties" xmlns:vt="http://schemas.openxmlformats.org/officeDocument/2006/docPropsVTypes"/>
</file>