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P2C: PROTOTYPE</w:t>
      </w:r>
    </w:p>
    <w:p>
      <w:pPr>
        <w:spacing w:after="200"/>
        <w:jc w:val="center"/>
      </w:pPr>
      <w:r>
        <w:rPr>
          <w:rFonts w:ascii="Arial" w:cs="Arial" w:eastAsia="Arial" w:hAnsi="Arial"/>
          <w:b/>
          <w:bCs/>
          <w:color w:val="1B3A6B"/>
          <w:sz w:val="44"/>
          <w:szCs w:val="44"/>
        </w:rPr>
        <w:t xml:space="preserve">PRODUCTION</w:t>
      </w:r>
    </w:p>
    <w:p>
      <w:pPr>
        <w:pBdr>
          <w:bottom w:val="single" w:color="2E5090" w:sz="6" w:space="12"/>
        </w:pBdr>
        <w:spacing w:after="100"/>
        <w:jc w:val="center"/>
      </w:pPr>
      <w:r>
        <w:rPr>
          <w:rFonts w:ascii="Arial" w:cs="Arial" w:eastAsia="Arial" w:hAnsi="Arial"/>
          <w:color w:val="666666"/>
          <w:sz w:val="24"/>
          <w:szCs w:val="24"/>
        </w:rPr>
        <w:t xml:space="preserve">Sub-Project P2C  |  Product Design &amp; Material Engineering  |  Weeks 8–12</w:t>
      </w:r>
    </w:p>
    <w:p>
      <w:pPr>
        <w:spacing w:before="400"/>
        <w:jc w:val="center"/>
      </w:pPr>
      <w:r>
        <w:rPr>
          <w:rFonts w:ascii="Arial" w:cs="Arial" w:eastAsia="Arial" w:hAnsi="Arial"/>
          <w:i/>
          <w:iCs/>
          <w:color w:val="888888"/>
          <w:sz w:val="22"/>
          <w:szCs w:val="22"/>
        </w:rPr>
        <w:t xml:space="preserve">Complete Prototype Playbook: Supplier Ordering, 10-Person Corral Simulation, Tear-Away Validation, Co-Brand Print Testing, Fit Matrix, Supplier Selection Scorecard, and Production Terms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P2C is where the product becomes REAL. </w:t>
      </w:r>
      <w:r>
        <w:rPr>
          <w:rFonts w:ascii="Arial" w:cs="Arial" w:eastAsia="Arial" w:hAnsi="Arial"/>
          <w:b w:val="false"/>
          <w:bCs w:val="false"/>
          <w:i w:val="false"/>
          <w:iCs w:val="false"/>
          <w:color w:val="000000"/>
          <w:sz w:val="22"/>
          <w:szCs w:val="22"/>
        </w:rPr>
        <w:t xml:space="preserve">P2A selected the materials (Config B: NatureFlex NM + PLA spunbond 35gsm). P2B designed the product (55″×34″, elastic hood, center-front tear-away, 4 branding zones). P2C orders 50–100 prototype units from 2–3 converters, subjects them to a rigorous 10-person corral simulation test, validates the tear-away system in 7 conditions, tests co-brand printing quality, evaluates fit across XS–XXL body types, selects the winning supplier, and negotiates final production terms.</w:t>
      </w:r>
    </w:p>
    <w:p>
      <w:pPr>
        <w:spacing w:after="160"/>
      </w:pPr>
      <w:r>
        <w:rPr>
          <w:rFonts w:ascii="Arial" w:cs="Arial" w:eastAsia="Arial" w:hAnsi="Arial"/>
          <w:b/>
          <w:bCs/>
          <w:i w:val="false"/>
          <w:iCs w:val="false"/>
          <w:color w:val="000000"/>
          <w:sz w:val="22"/>
          <w:szCs w:val="22"/>
        </w:rPr>
        <w:t xml:space="preserve">The critical decision at the end of P2C: </w:t>
      </w:r>
      <w:r>
        <w:rPr>
          <w:rFonts w:ascii="Arial" w:cs="Arial" w:eastAsia="Arial" w:hAnsi="Arial"/>
          <w:b w:val="false"/>
          <w:bCs w:val="false"/>
          <w:i w:val="false"/>
          <w:iCs w:val="false"/>
          <w:color w:val="000000"/>
          <w:sz w:val="22"/>
          <w:szCs w:val="22"/>
        </w:rPr>
        <w:t xml:space="preserve">commit to a production order of 5,000–25,000 units (Moderate scenario from P0F) or iterate on the prototype. This decision is gated by the corral simulation results: ≥8/10 testers must rate warmth ≥6/10, achieve clean tear-away in ≤3 seconds with cold wet hands, and say “yes” to paying $9.99. If these thresholds are not met, do NOT proceed to production — iterate until they are.</w:t>
      </w:r>
    </w:p>
    <w:p>
      <w:r>
        <w:br w:type="page"/>
      </w:r>
    </w:p>
    <w:p>
      <w:pPr>
        <w:pStyle w:val="Heading1"/>
        <w:spacing w:before="360" w:after="200"/>
      </w:pPr>
      <w:r>
        <w:rPr>
          <w:rFonts w:ascii="Arial" w:cs="Arial" w:eastAsia="Arial" w:hAnsi="Arial"/>
        </w:rPr>
        <w:t xml:space="preserve">1. Prototype Ordering: 50–100 Units from Top 2–3 Converters</w:t>
      </w:r>
    </w:p>
    <w:p>
      <w:pPr>
        <w:spacing w:after="160"/>
      </w:pPr>
      <w:r>
        <w:rPr>
          <w:rFonts w:ascii="Arial" w:cs="Arial" w:eastAsia="Arial" w:hAnsi="Arial"/>
          <w:b/>
          <w:bCs/>
          <w:i w:val="false"/>
          <w:iCs w:val="false"/>
          <w:color w:val="000000"/>
          <w:sz w:val="22"/>
          <w:szCs w:val="22"/>
        </w:rPr>
        <w:t xml:space="preserve">Order prototypes from multiple converters simultaneously </w:t>
      </w:r>
      <w:r>
        <w:rPr>
          <w:rFonts w:ascii="Arial" w:cs="Arial" w:eastAsia="Arial" w:hAnsi="Arial"/>
          <w:b w:val="false"/>
          <w:bCs w:val="false"/>
          <w:i w:val="false"/>
          <w:iCs w:val="false"/>
          <w:color w:val="000000"/>
          <w:sz w:val="22"/>
          <w:szCs w:val="22"/>
        </w:rPr>
        <w:t xml:space="preserve">to: (A) compare quality and construction approaches, (B) benchmark pricing, (C) establish backup supplier relationships, and (D) test different material configurations (Config B from one converter, Config C from another). Never rely on a single supplier this early in the process.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1000"/>
        <w:gridCol w:w="800"/>
        <w:gridCol w:w="1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Converter</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Order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Cost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Lead Time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Converter A (Parkside, UK)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units Config B (NatureFlex NM + PLA spunbond 35gsm)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Parkside is both a film supplier AND converter — single-source simplifies coordination. Send P2B factory tech spec. Request: ultrasonic bonding, laser perforation, elastic hood, 1-color print (brand logo only), folded into inner bags.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$800–$1,500 (sample run pricing)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weeks from tech spec approval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info@parksideflex.com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Converter B (ProAmpac, 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units Config B (same spec)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ProAmpac has short-run capability and ProActive Compostable product line. Will make a single pouch or small run if required. US-based = faster shipping, easier communication.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$600–$1,200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weeks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800-543-7030; proampac.com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Converter C (China via Alibaba)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units Config C (ENVIROMET or generic met BOPLA + PLA spunbond)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Source via Alibaba Gold Suppliers with compostable packaging experience. Lower cost but longer lead time + language barrier. Useful for cost benchmarking.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$300–$600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(+ 2–3 weeks shipping)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Alibaba.com search: “compostable poncho manufacturer”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Optional: TIPA direct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units Config C variant (TIPA 312MET + PLA spunbond)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TIPA’s garment bag manufacturing experience is directly relevant. Contact for prototype collaboration. May produce at no cost if positioned as a case study for their 312MET film.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$0–$500 (potential free collaboration)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weeks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tipa-corp.com</w:t>
            </w:r>
          </w:p>
        </w:tc>
      </w:tr>
    </w:tbl>
    <w:p>
      <w:pPr>
        <w:spacing w:before="200"/>
      </w:pPr>
    </w:p>
    <w:p>
      <w:pPr>
        <w:pStyle w:val="Heading2"/>
        <w:spacing w:before="280" w:after="160"/>
      </w:pPr>
      <w:r>
        <w:rPr>
          <w:rFonts w:ascii="Arial" w:cs="Arial" w:eastAsia="Arial" w:hAnsi="Arial"/>
        </w:rPr>
        <w:t xml:space="preserve">1.1 Prototype Order Package</w:t>
      </w:r>
    </w:p>
    <w:p>
      <w:pPr>
        <w:spacing w:after="160"/>
      </w:pPr>
      <w:r>
        <w:rPr>
          <w:rFonts w:ascii="Arial" w:cs="Arial" w:eastAsia="Arial" w:hAnsi="Arial"/>
          <w:b w:val="false"/>
          <w:bCs w:val="false"/>
          <w:i w:val="false"/>
          <w:iCs w:val="false"/>
          <w:color w:val="000000"/>
          <w:sz w:val="22"/>
          <w:szCs w:val="22"/>
        </w:rPr>
        <w:t xml:space="preserve">Send each converter a complete order package: (1) Factory tech spec PDF from P2B Section 7 (15–25 pages, all dimensions + materials + assembly process). (2) Material technical data sheets (NatureFlex NM TDS, PLA spunbond TDS). (3) Artwork files (brand logo EPS/AI, 1:1 scale, with branding zone template). (4) Fold pattern diagram. (5) Cover email specifying: quantity, material configuration, timeline, and budget expectation. (6) NDA for signature before sharing proprietary design details.</w:t>
      </w:r>
    </w:p>
    <w:p>
      <w:pPr>
        <w:pStyle w:val="Heading2"/>
        <w:spacing w:before="280" w:after="160"/>
      </w:pPr>
      <w:r>
        <w:rPr>
          <w:rFonts w:ascii="Arial" w:cs="Arial" w:eastAsia="Arial" w:hAnsi="Arial"/>
        </w:rPr>
        <w:t xml:space="preserve">1.2 Prototype Receiving Inspection</w:t>
      </w:r>
    </w:p>
    <w:p>
      <w:pPr>
        <w:spacing w:after="160"/>
      </w:pPr>
      <w:r>
        <w:rPr>
          <w:rFonts w:ascii="Arial" w:cs="Arial" w:eastAsia="Arial" w:hAnsi="Arial"/>
          <w:b w:val="false"/>
          <w:bCs w:val="false"/>
          <w:i w:val="false"/>
          <w:iCs w:val="false"/>
          <w:color w:val="000000"/>
          <w:sz w:val="22"/>
          <w:szCs w:val="22"/>
        </w:rPr>
        <w:t xml:space="preserve">When prototypes arrive, conduct IMMEDIATE inspection before scheduling corral simulation. Checklist: (1) Count units (full quantity received?). (2) Measure 5 random units against P2B dimensional specs (±0.5″ tolerance). (3) Visual inspection: metallization quality, bonding integrity, perforation visibility, print quality. (4) Quick tear test: 3 units torn at room temperature — clean path? Reasonable force? (5) Weight check: 3 units on kitchen scale (±10% of 100–120g target). (6) Fold/pack test: can 3 units be refolded into 6″×4.5″ inner bag? Document ALL findings with photographs. If any converter’s prototypes fail basic inspection, do NOT include them in the corral simulation — request revised samples.</w:t>
      </w:r>
    </w:p>
    <w:p>
      <w:r>
        <w:br w:type="page"/>
      </w:r>
    </w:p>
    <w:p>
      <w:pPr>
        <w:pStyle w:val="Heading1"/>
        <w:spacing w:before="360" w:after="200"/>
      </w:pPr>
      <w:r>
        <w:rPr>
          <w:rFonts w:ascii="Arial" w:cs="Arial" w:eastAsia="Arial" w:hAnsi="Arial"/>
        </w:rPr>
        <w:t xml:space="preserve">2. 10-Person Corral Simulation Test</w:t>
      </w:r>
    </w:p>
    <w:p>
      <w:pPr>
        <w:spacing w:after="160"/>
      </w:pPr>
      <w:r>
        <w:rPr>
          <w:rFonts w:ascii="Arial" w:cs="Arial" w:eastAsia="Arial" w:hAnsi="Arial"/>
          <w:b/>
          <w:bCs/>
          <w:i w:val="false"/>
          <w:iCs w:val="false"/>
          <w:color w:val="000000"/>
          <w:sz w:val="22"/>
          <w:szCs w:val="22"/>
        </w:rPr>
        <w:t xml:space="preserve">This is the most important test in the entire product development process. </w:t>
      </w:r>
      <w:r>
        <w:rPr>
          <w:rFonts w:ascii="Arial" w:cs="Arial" w:eastAsia="Arial" w:hAnsi="Arial"/>
          <w:b w:val="false"/>
          <w:bCs w:val="false"/>
          <w:i w:val="false"/>
          <w:iCs w:val="false"/>
          <w:color w:val="000000"/>
          <w:sz w:val="22"/>
          <w:szCs w:val="22"/>
        </w:rPr>
        <w:t xml:space="preserve">It answers the ONE question that matters: will a real runner, standing in a cold corral at 6 AM, choose this product over a garbage bag and tell their friends about it? P2A’s 8-tester field trial validated MATERIALS. P2C’s 10-person simulation validates the COMPLETE PRODUCT from a converter.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Protocol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runners minimum (8 from P2A field trial + 2 fresh testers for unbiased perspective). Mix: 3 female, 3 male, 2 non-binary or additional; sizes XS, S, M, L, XL, XXL represented. At least 2 first-time marathon runners.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Outdoor venue accessible at 5:30–7:30 AM: park, parking lot, school track, or local 5K race start area. Must be open to wind. Ideal: attend an actual local race and conduct test with consenting participants.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Conditions target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35–45°F (2–7°C), wind 5–20 mph, overcast or light drizzle. If unavailable: earliest cold morning available + industrial fan for wind simulation. Log: ambient temp (digital thermometer), wind speed (handheld anemometer $15–20), humidity (hygrometer), precipitation.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Pre-test setup</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tester receives: converter-produced prototype (V0.3), adhesive thermocouple sensors (4 sites: chest, upper back, forearm, thigh), FLIR thermal baseline capture. Tester wears their normal race-day base layer under the poncho.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Phase 1: Standing (0–30 min)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Testers stand in a simulated corral. Permitted: stretching, checking phone, holding coffee cup, chatting — all normal corral activities. NOT permitted: vigorous movement, jogging. Record: skin temperature every 5 min, thermal comfort (1–7 Likert) every 10 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2: Walking (30–35 min)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Testers walk 400m at a brisk pace (simulating walk to start corral). Assess: does poncho shift? Does hood stay on? Do side slits allow arm swing? Does hemline interfere with stride?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Phase 3: Tear-away (35–40 min)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Simulated gun: testers tear off poncho using pull tab. 3 attempts each: (1) warm dry hands, (2) cold wet hands (spray with water + wait 2 min in cold), (3) while walking briskly. Time each tear. Photograph tear path. Record: clean tear Y/N, seconds, ease rating (1–5).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4: Debrief (40–60 min)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Individual 10-minute interviews: warmth rating (1–10), overall comfort (1–10), “Would you pay $9.99 for this?” (yes/no/maybe + reasoning), “What would you improve?” (open-ended), “Would you recommend to a running friend?” (NPS-style 0–10).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Documentation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Video all phases (consent forms signed). FLIR captures at 0, 15, 30 min. Photograph: each tester front + back at 0 and 30 min. Photograph: every tear path. All data into a master spreadsheet within 24 hours.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Success criteria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≥8/10 testers rate warmth ≥6/10. ≥8/10 rate comfort ≥6/10. ≥8/10 achieve clean tear in ≤3 sec in ALL 3 hand conditions. ≥8/10 say “yes” to $9.99. Mean NPS ≥50. ZERO safety concerns (e.g., choking hazard from elastic, sharp edges from perforation).</w:t>
            </w:r>
          </w:p>
        </w:tc>
      </w:tr>
    </w:tbl>
    <w:p>
      <w:pPr>
        <w:spacing w:before="200"/>
      </w:pPr>
    </w:p>
    <w:p>
      <w:pPr>
        <w:pStyle w:val="Heading2"/>
        <w:spacing w:before="280" w:after="160"/>
      </w:pPr>
      <w:r>
        <w:rPr>
          <w:rFonts w:ascii="Arial" w:cs="Arial" w:eastAsia="Arial" w:hAnsi="Arial"/>
        </w:rPr>
        <w:t xml:space="preserve">2.1 Tester Recruitment</w:t>
      </w:r>
    </w:p>
    <w:p>
      <w:pPr>
        <w:spacing w:after="160"/>
      </w:pPr>
      <w:r>
        <w:rPr>
          <w:rFonts w:ascii="Arial" w:cs="Arial" w:eastAsia="Arial" w:hAnsi="Arial"/>
          <w:b w:val="false"/>
          <w:bCs w:val="false"/>
          <w:i w:val="false"/>
          <w:iCs w:val="false"/>
          <w:color w:val="000000"/>
          <w:sz w:val="22"/>
          <w:szCs w:val="22"/>
        </w:rPr>
        <w:t xml:space="preserve">Source testers from: local running clubs (Fleet Feet group runs, November Project), r/running local city threads, Strava Club members, personal running network. Compensation: free poncho (keep the prototype) + $25 Amazon gift card per session. Require: signed consent form (for video/photo use in marketing — dual-purpose: product testing + content creation per P1D Section 6), commitment to full session (60 minutes including debrief).</w:t>
      </w:r>
    </w:p>
    <w:p>
      <w:pPr>
        <w:spacing w:after="160"/>
      </w:pPr>
      <w:r>
        <w:rPr>
          <w:rFonts w:ascii="Arial" w:cs="Arial" w:eastAsia="Arial" w:hAnsi="Arial"/>
          <w:b w:val="false"/>
          <w:bCs w:val="false"/>
          <w:i w:val="false"/>
          <w:iCs w:val="false"/>
          <w:color w:val="000000"/>
          <w:sz w:val="22"/>
          <w:szCs w:val="22"/>
        </w:rPr>
        <w:t xml:space="preserve">DIVERSITY REQUIREMENT per P1B Section 11.3: minimum 3 different body sizes, 2+ racial/ethnic backgrounds, 2+ genders. At least 1 tester over age 50 and at least 1 first-time marathon runner. This is not just ethical — it produces better product data and ensures the poncho works for the FULL running community.</w:t>
      </w:r>
    </w:p>
    <w:p>
      <w:pPr>
        <w:pStyle w:val="Heading2"/>
        <w:spacing w:before="280" w:after="160"/>
      </w:pPr>
      <w:r>
        <w:rPr>
          <w:rFonts w:ascii="Arial" w:cs="Arial" w:eastAsia="Arial" w:hAnsi="Arial"/>
        </w:rPr>
        <w:t xml:space="preserve">2.2 Consent Form &amp; Liability Waiver</w:t>
      </w:r>
    </w:p>
    <w:p>
      <w:pPr>
        <w:spacing w:after="160"/>
      </w:pPr>
      <w:r>
        <w:rPr>
          <w:rFonts w:ascii="Arial" w:cs="Arial" w:eastAsia="Arial" w:hAnsi="Arial"/>
          <w:b/>
          <w:bCs/>
          <w:i w:val="false"/>
          <w:iCs w:val="false"/>
          <w:color w:val="2E7D32"/>
          <w:sz w:val="22"/>
          <w:szCs w:val="22"/>
        </w:rPr>
        <w:t xml:space="preserve">[GAP P2-14 CLOSED] </w:t>
      </w:r>
      <w:r>
        <w:rPr>
          <w:rFonts w:ascii="Arial" w:cs="Arial" w:eastAsia="Arial" w:hAnsi="Arial"/>
          <w:b w:val="false"/>
          <w:bCs w:val="false"/>
          <w:i w:val="false"/>
          <w:iCs w:val="false"/>
          <w:color w:val="000000"/>
          <w:sz w:val="22"/>
          <w:szCs w:val="22"/>
        </w:rPr>
        <w:t xml:space="preserve">Every tester must sign a consent form BEFORE participating in any testing session. This form serves 3 purposes: (A) legal liability protection for product testing with a prototype, (B) photo/video release for marketing use per P1D content strategy, and (C) data privacy notice for feedback data. Collect signed originals and store for 3+ years.</w:t>
      </w:r>
    </w:p>
    <w:p>
      <w:pPr>
        <w:spacing w:after="160"/>
      </w:pPr>
      <w:r>
        <w:rPr>
          <w:rFonts w:ascii="Arial" w:cs="Arial" w:eastAsia="Arial" w:hAnsi="Arial"/>
          <w:b w:val="false"/>
          <w:bCs w:val="false"/>
          <w:i w:val="false"/>
          <w:iCs w:val="false"/>
          <w:color w:val="000000"/>
          <w:sz w:val="22"/>
          <w:szCs w:val="22"/>
        </w:rPr>
        <w:t xml:space="preserve">The consent form must include the following sections: (1) PARTICIPANT INFORMATION: full name, email, phone, emergency contact. (2) PRODUCT TESTING ACKNOWLEDGMENT: “I understand that the product being tested is a prototype and may not perform as intended. I voluntarily assume all risks associated with wearing and testing this product, including but not limited to: skin irritation, allergic reaction (product contains natural rubber latex in hood elastic), and accidental tearing of the product.” (3) PHOTO/VIDEO RELEASE: “I grant [BRAND NAME / Legal Entity] and its assigns the irrevocable right to use photographs, video recordings, and audio recordings captured during testing sessions for any purpose including advertising, marketing, social media, website, and press materials, without additional compensation.” (4) DATA PRIVACY: “Feedback data collected during testing will be stored securely and used for product development purposes. Personally identifiable information will not be shared with third parties without my consent.” (5) COMPENSATION: “I will receive one free prototype poncho and a $25 Amazon gift card per testing session attended.” (6) SIGNATURE BLOCK: participant signature, printed name, date. Witness signature (founder or team member).</w:t>
      </w:r>
    </w:p>
    <w:p>
      <w:pPr>
        <w:spacing w:after="160"/>
      </w:pPr>
      <w:r>
        <w:rPr>
          <w:rFonts w:ascii="Arial" w:cs="Arial" w:eastAsia="Arial" w:hAnsi="Arial"/>
          <w:b w:val="false"/>
          <w:bCs w:val="false"/>
          <w:i w:val="false"/>
          <w:iCs w:val="false"/>
          <w:color w:val="000000"/>
          <w:sz w:val="22"/>
          <w:szCs w:val="22"/>
        </w:rPr>
        <w:t xml:space="preserve">ATTORNEY REVIEW: Have a business attorney review the consent form template before first use. Cost: $200–$500 for a standard waiver/release review. Alternatively: use a free template from LawDepot, Rocket Lawyer, or Docracy as a starting point and customize with the product-specific language above. Key legal requirement: the waiver must be signed VOLUNTARILY (no coercion) and the participant must have an opportunity to read it fully before signing. Provide a copy to each participant for their records.</w:t>
      </w:r>
    </w:p>
    <w:p>
      <w:pPr>
        <w:pStyle w:val="Heading2"/>
        <w:spacing w:before="280" w:after="160"/>
      </w:pPr>
      <w:r>
        <w:rPr>
          <w:rFonts w:ascii="Arial" w:cs="Arial" w:eastAsia="Arial" w:hAnsi="Arial"/>
        </w:rPr>
        <w:t xml:space="preserve">2.3 Comparative Testing</w:t>
      </w:r>
    </w:p>
    <w:p>
      <w:pPr>
        <w:spacing w:after="160"/>
      </w:pPr>
      <w:r>
        <w:rPr>
          <w:rFonts w:ascii="Arial" w:cs="Arial" w:eastAsia="Arial" w:hAnsi="Arial"/>
          <w:b w:val="false"/>
          <w:bCs w:val="false"/>
          <w:i w:val="false"/>
          <w:iCs w:val="false"/>
          <w:color w:val="000000"/>
          <w:sz w:val="22"/>
          <w:szCs w:val="22"/>
        </w:rPr>
        <w:t xml:space="preserve">For maximum data value, include COMPARISON products in the simulation. Each tester also wears (in randomized order across separate sessions or sequential 15-min blocks): (A) a standard PE garbage bag, (B) a Heatsheets Classic blanket (if available; order $150 100-count from shop.heatsheets.com), (C) a thrift-store sweatshirt. At end, each tester ranks all 4 options on: warmth, comfort, convenience, willingness to pay. This comparative data is GOLD for marketing (“9 out of 10 runners preferred [BRAND] over a garbage bag”) and for the B2B pitch deck (P1D Slide 8).</w:t>
      </w:r>
    </w:p>
    <w:p>
      <w:r>
        <w:br w:type="page"/>
      </w:r>
    </w:p>
    <w:p>
      <w:pPr>
        <w:pStyle w:val="Heading1"/>
        <w:spacing w:before="360" w:after="200"/>
      </w:pPr>
      <w:r>
        <w:rPr>
          <w:rFonts w:ascii="Arial" w:cs="Arial" w:eastAsia="Arial" w:hAnsi="Arial"/>
        </w:rPr>
        <w:t xml:space="preserve">3. Tear-Away Validation: 7-Condition Testing Matrix</w:t>
      </w:r>
    </w:p>
    <w:p>
      <w:pPr>
        <w:spacing w:after="160"/>
      </w:pPr>
      <w:r>
        <w:rPr>
          <w:rFonts w:ascii="Arial" w:cs="Arial" w:eastAsia="Arial" w:hAnsi="Arial"/>
          <w:b/>
          <w:bCs/>
          <w:i w:val="false"/>
          <w:iCs w:val="false"/>
          <w:color w:val="000000"/>
          <w:sz w:val="22"/>
          <w:szCs w:val="22"/>
        </w:rPr>
        <w:t xml:space="preserve">The tear-away system was designed in P2B with target parameters (3–5 N initiation, 2mm/1mm perforation). </w:t>
      </w:r>
      <w:r>
        <w:rPr>
          <w:rFonts w:ascii="Arial" w:cs="Arial" w:eastAsia="Arial" w:hAnsi="Arial"/>
          <w:b w:val="false"/>
          <w:bCs w:val="false"/>
          <w:i w:val="false"/>
          <w:iCs w:val="false"/>
          <w:color w:val="000000"/>
          <w:sz w:val="22"/>
          <w:szCs w:val="22"/>
        </w:rPr>
        <w:t xml:space="preserve">P2C validates those parameters on CONVERTER-PRODUCED prototypes, which may behave differently from hand-fabricated samples due to: machine perforation consistency, bonding method variations, material batch differences, and aging during shipping.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1400"/>
        <w:gridCol w:w="2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Protocol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Pass Criteria</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Warm dry hands (baseline)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Room temp; hands dry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tears per tester; record time + clean Y/N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Expected: 100% clean, &lt;2 sec avg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Validates basic perforation spec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Cold dry hands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Hands exposed to 35°F for 5 min; NOT wet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tears per tester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100% clean, &lt;3 sec avg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Fine motor control reduced but grip intact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Cold wet hands (critical)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Hands sprayed with water then exposed to 35°F for 3 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tears per tester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achieve: ≥90% clean, ≤3 sec avg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definitive test. If this fails, redesign pull tab.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Gloved hands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 wears thin running gloves (liner weight)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tears per tester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≥80% clean, &lt;4 sec avg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Many runners wear gloves at start; pull tab must be findable through gloves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While walking briskly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Tester walks at 4 mph and tears without stopping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tears per tester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Expected: ≥80% clean, &lt;4 sec avg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Simulates runners who tear off while already moving after gun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One-handed (emergency)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 tears with dominant hand only; other hand holds phone/coffee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tears per tester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≥70% clean, &lt;5 sec avg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Edge case but realistic: runners often hold items at start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Wind loading pre-test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worn in 15–20 mph wind for 10 min; then tear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tears per tester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must NOT have torn at perforations during 10-min wind exposure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Confirms perforation survives sustained wind before intentional tear</w:t>
            </w:r>
          </w:p>
        </w:tc>
      </w:tr>
    </w:tbl>
    <w:p>
      <w:pPr>
        <w:spacing w:before="200"/>
      </w:pPr>
    </w:p>
    <w:p>
      <w:pPr>
        <w:pStyle w:val="Heading2"/>
        <w:spacing w:before="280" w:after="160"/>
      </w:pPr>
      <w:r>
        <w:rPr>
          <w:rFonts w:ascii="Arial" w:cs="Arial" w:eastAsia="Arial" w:hAnsi="Arial"/>
        </w:rPr>
        <w:t xml:space="preserve">3.1 Data Collection &amp; Analysis</w:t>
      </w:r>
    </w:p>
    <w:p>
      <w:pPr>
        <w:spacing w:after="160"/>
      </w:pPr>
      <w:r>
        <w:rPr>
          <w:rFonts w:ascii="Arial" w:cs="Arial" w:eastAsia="Arial" w:hAnsi="Arial"/>
          <w:b w:val="false"/>
          <w:bCs w:val="false"/>
          <w:i w:val="false"/>
          <w:iCs w:val="false"/>
          <w:color w:val="000000"/>
          <w:sz w:val="22"/>
          <w:szCs w:val="22"/>
        </w:rPr>
        <w:t xml:space="preserve">Record for EVERY tear attempt: tester ID, condition, converter (A/B/C), time to complete removal (stopwatch, 0.1-sec precision), clean tear path (Y/N, photograph), subjective ease rating (1–5), and any failure mode observed. Minimum: 10 testers × 7 conditions × varying reps = 350–500 individual tear data points. Analyze: mean tear time per condition, clean-tear rate per condition, and pass/fail against P2B criteria. If ANY condition falls below its pass threshold: document the failure mode, propose a specific engineering fix (enlarge pull tab, change perforation spacing, add grip texture), and request revised prototypes from the converter before production commitment.</w:t>
      </w:r>
    </w:p>
    <w:p>
      <w:pPr>
        <w:pStyle w:val="Heading2"/>
        <w:spacing w:before="280" w:after="160"/>
      </w:pPr>
      <w:r>
        <w:rPr>
          <w:rFonts w:ascii="Arial" w:cs="Arial" w:eastAsia="Arial" w:hAnsi="Arial"/>
        </w:rPr>
        <w:t xml:space="preserve">3.2 Statistical Analysis Methodology</w:t>
      </w:r>
    </w:p>
    <w:p>
      <w:pPr>
        <w:spacing w:after="160"/>
      </w:pPr>
      <w:r>
        <w:rPr>
          <w:rFonts w:ascii="Arial" w:cs="Arial" w:eastAsia="Arial" w:hAnsi="Arial"/>
          <w:b/>
          <w:bCs/>
          <w:i w:val="false"/>
          <w:iCs w:val="false"/>
          <w:color w:val="2E7D32"/>
          <w:sz w:val="22"/>
          <w:szCs w:val="22"/>
        </w:rPr>
        <w:t xml:space="preserve">[GAP P2-15 CLOSED] </w:t>
      </w:r>
      <w:r>
        <w:rPr>
          <w:rFonts w:ascii="Arial" w:cs="Arial" w:eastAsia="Arial" w:hAnsi="Arial"/>
          <w:b w:val="false"/>
          <w:bCs w:val="false"/>
          <w:i w:val="false"/>
          <w:iCs w:val="false"/>
          <w:color w:val="000000"/>
          <w:sz w:val="22"/>
          <w:szCs w:val="22"/>
        </w:rPr>
        <w:t xml:space="preserve">With 10 testers, statistical power is limited but sufficient for large effect sizes. Pre-registering the analysis plan before data collection prevents post-hoc rationalization and strengthens credibility with investors and B2B customers who may challenge rigor. The following methods apply to ALL quantitative data collected in P2C.</w:t>
      </w:r>
    </w:p>
    <w:p>
      <w:pPr>
        <w:spacing w:after="160"/>
      </w:pPr>
      <w:r>
        <w:rPr>
          <w:rFonts w:ascii="Arial" w:cs="Arial" w:eastAsia="Arial" w:hAnsi="Arial"/>
          <w:b w:val="false"/>
          <w:bCs w:val="false"/>
          <w:i w:val="false"/>
          <w:iCs w:val="false"/>
          <w:color w:val="000000"/>
          <w:sz w:val="22"/>
          <w:szCs w:val="22"/>
        </w:rPr>
        <w:t xml:space="preserve">CONTINUOUS MEASURES (skin temperature, tear time, thermal comfort rating, overall comfort rating): Use PAIRED t-test when comparing two configurations on the same tester (e.g., Config B warmth vs. Config C warmth for each tester). Use repeated-measures ANOVA when comparing 3+ configurations simultaneously. Report: mean ± standard deviation per configuration, p-value (significance threshold α = 0.05), and 95% confidence interval for the difference. If data is non-normally distributed (check with Shapiro-Wilk test): use Wilcoxon signed-rank test (paired) or Friedman test (3+ conditions) instead of parametric tests. Tool: Google Sheets (T.TEST function) or free online calculator (socscistatistics.com).</w:t>
      </w:r>
    </w:p>
    <w:p>
      <w:pPr>
        <w:spacing w:after="160"/>
      </w:pPr>
      <w:r>
        <w:rPr>
          <w:rFonts w:ascii="Arial" w:cs="Arial" w:eastAsia="Arial" w:hAnsi="Arial"/>
          <w:b w:val="false"/>
          <w:bCs w:val="false"/>
          <w:i w:val="false"/>
          <w:iCs w:val="false"/>
          <w:color w:val="000000"/>
          <w:sz w:val="22"/>
          <w:szCs w:val="22"/>
        </w:rPr>
        <w:t xml:space="preserve">CATEGORICAL OUTCOMES (clean tear Y/N, would-buy Y/N): Use McNemar’s test for paired binary comparisons (same tester, two conditions) or Cochran’s Q test for 3+ conditions. For simple proportion comparison (e.g., “90% achieved clean tear in cold-wet condition”): report proportion + exact binomial 95% confidence interval. With N=10: a 9/10 success rate has a 95% CI of [55.5%, 99.7%] — wide but directionally useful. A 10/10 success rate has a 95% CI of [69.2%, 100%]. Tool: VassarStats.net (free online binomial CI calculator).</w:t>
      </w:r>
    </w:p>
    <w:p>
      <w:pPr>
        <w:spacing w:after="160"/>
      </w:pPr>
      <w:r>
        <w:rPr>
          <w:rFonts w:ascii="Arial" w:cs="Arial" w:eastAsia="Arial" w:hAnsi="Arial"/>
          <w:b w:val="false"/>
          <w:bCs w:val="false"/>
          <w:i w:val="false"/>
          <w:iCs w:val="false"/>
          <w:color w:val="000000"/>
          <w:sz w:val="22"/>
          <w:szCs w:val="22"/>
        </w:rPr>
        <w:t xml:space="preserve">ORDINAL RATINGS (Likert 1–7 thermal comfort, 1–10 overall comfort, 0–10 NPS): Use Wilcoxon signed-rank test for paired comparisons. Report: median and interquartile range (IQR) per configuration (NOT mean — Likert data is ordinal, not interval). For NPS: calculate Promoters (9–10), Passives (7–8), Detractors (0–6). NPS = % Promoters − % Detractors. With N=10: NPS has wide confidence intervals but provides a directional benchmark.</w:t>
      </w:r>
    </w:p>
    <w:p>
      <w:pPr>
        <w:spacing w:after="160"/>
      </w:pPr>
      <w:r>
        <w:rPr>
          <w:rFonts w:ascii="Arial" w:cs="Arial" w:eastAsia="Arial" w:hAnsi="Arial"/>
          <w:b w:val="false"/>
          <w:bCs w:val="false"/>
          <w:i w:val="false"/>
          <w:iCs w:val="false"/>
          <w:color w:val="000000"/>
          <w:sz w:val="22"/>
          <w:szCs w:val="22"/>
        </w:rPr>
        <w:t xml:space="preserve">SAMPLE SIZE JUSTIFICATION: 10 testers × 3 configurations = 30 paired observations. Statistical power for a paired t-test with N=10 at α=0.05: detects large effects (Cohen’s d ≥ 0.8) with ~80% power, detects medium effects (d ≈ 0.5) with ~40% power, cannot reliably detect small effects (d &lt; 0.3). PRACTICAL IMPLICATION: this sample size is sufficient to detect meaningful differences between configurations (e.g., Config B is noticeably warmer than Config C) but cannot detect subtle differences (e.g., 0.5°C mean temperature difference). This limitation should be acknowledged in the prototype evaluation report. If resources allow: increase to 15–20 testers for the final P2C simulation (10 from P2A + 5–10 new recruits) to improve power.</w:t>
      </w:r>
    </w:p>
    <w:p>
      <w:pPr>
        <w:spacing w:after="160"/>
      </w:pPr>
      <w:r>
        <w:rPr>
          <w:rFonts w:ascii="Arial" w:cs="Arial" w:eastAsia="Arial" w:hAnsi="Arial"/>
          <w:b w:val="false"/>
          <w:bCs w:val="false"/>
          <w:i w:val="false"/>
          <w:iCs w:val="false"/>
          <w:color w:val="000000"/>
          <w:sz w:val="22"/>
          <w:szCs w:val="22"/>
        </w:rPr>
        <w:t xml:space="preserve">PRE-REGISTRATION: Document the analysis plan (which tests, which comparisons, what significance threshold) BEFORE collecting data. Store the plan as a dated, signed document (PDF or Google Doc with version history). This prevents the temptation to run multiple analyses after the fact and report only favorable results. Pre-registration is standard practice in clinical trials and increasingly expected in consumer product research.</w:t>
      </w:r>
    </w:p>
    <w:p>
      <w:pPr>
        <w:pStyle w:val="Heading2"/>
        <w:spacing w:before="280" w:after="160"/>
      </w:pPr>
      <w:r>
        <w:rPr>
          <w:rFonts w:ascii="Arial" w:cs="Arial" w:eastAsia="Arial" w:hAnsi="Arial"/>
        </w:rPr>
        <w:t xml:space="preserve">3.3 Converter Comparison</w:t>
      </w:r>
    </w:p>
    <w:p>
      <w:pPr>
        <w:spacing w:after="160"/>
      </w:pPr>
      <w:r>
        <w:rPr>
          <w:rFonts w:ascii="Arial" w:cs="Arial" w:eastAsia="Arial" w:hAnsi="Arial"/>
          <w:b w:val="false"/>
          <w:bCs w:val="false"/>
          <w:i w:val="false"/>
          <w:iCs w:val="false"/>
          <w:color w:val="000000"/>
          <w:sz w:val="22"/>
          <w:szCs w:val="22"/>
        </w:rPr>
        <w:t xml:space="preserve">Run identical tear-away tests on prototypes from each converter. Compare: (A) mean tear force (measured with spring gauge — $15–30 on Amazon), (B) clean-tear percentage, (C) perforation consistency (examine 10 units under 10× loupe: is cut/bridge ratio consistent within ±0.2mm?). The converter with the most consistent, clean perforations within the 3–5 N target range scores highest on this criterion.</w:t>
      </w:r>
    </w:p>
    <w:p>
      <w:r>
        <w:br w:type="page"/>
      </w:r>
    </w:p>
    <w:p>
      <w:pPr>
        <w:pStyle w:val="Heading1"/>
        <w:spacing w:before="360" w:after="200"/>
      </w:pPr>
      <w:r>
        <w:rPr>
          <w:rFonts w:ascii="Arial" w:cs="Arial" w:eastAsia="Arial" w:hAnsi="Arial"/>
        </w:rPr>
        <w:t xml:space="preserve">4. Co-Brand Printing Quality Validation</w:t>
      </w:r>
    </w:p>
    <w:p>
      <w:pPr>
        <w:spacing w:after="160"/>
      </w:pPr>
      <w:r>
        <w:rPr>
          <w:rFonts w:ascii="Arial" w:cs="Arial" w:eastAsia="Arial" w:hAnsi="Arial"/>
          <w:b/>
          <w:bCs/>
          <w:i w:val="false"/>
          <w:iCs w:val="false"/>
          <w:color w:val="000000"/>
          <w:sz w:val="22"/>
          <w:szCs w:val="22"/>
        </w:rPr>
        <w:t xml:space="preserve">Co-branded ponchos are the primary B2B revenue driver. </w:t>
      </w:r>
      <w:r>
        <w:rPr>
          <w:rFonts w:ascii="Arial" w:cs="Arial" w:eastAsia="Arial" w:hAnsi="Arial"/>
          <w:b w:val="false"/>
          <w:bCs w:val="false"/>
          <w:i w:val="false"/>
          <w:iCs w:val="false"/>
          <w:color w:val="000000"/>
          <w:sz w:val="22"/>
          <w:szCs w:val="22"/>
        </w:rPr>
        <w:t xml:space="preserve">If the print quality is poor (faded, misaligned, or rubs off during wear), race directors will not reorder and the sponsor co-branding model collapses. P2C tests printing on actual converter-produced prototypes — not just material swatches — because printing on a pre-assembled, bonded, perforated poncho introduces variables that swatch testing misses.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8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Acceptance Criteria</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Standard Reference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Print adhesion — tape test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Apply 3M Scotch tape firmly to printed area; peel at 180° angle. Examine: ink transfer to tape (should be &lt;5% area).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on 5 units from each converter. If &gt;5% ink lifts: primer coat required on nonwoven surface before printing.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D3359 cross-hatch adhesion test (simplified field version)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 durability — body heat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Wear printed poncho for 30 min at body temperature; examine print area for: smearing, fading, ink transfer to base layer underneath.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on all 10 corral simulation testers’ ponchos post-test. Photograph print zones before and after wear.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Simulate: body heat (98.6°F) + moisture (condensation) + movement (flexing at printed zones)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Print durability — rain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Spray printed area with water bottle for 60 sec; wipe with paper towel. Examine: ink bleeding, smearing, or removal.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3 units per converter. If ink bleeds: switch to UV-resistant compostable ink (hubergroup outdoor series).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Drizzle resistance of print, not full waterproofing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 legibility — distance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View printed back panel from 10 ft, 25 ft, and 50 ft. Can race logo + sponsor logo be identified at each distance?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with 5 people with normal vision. At 25 ft, logo must be identifiable. At 50 ft, brand/color must be recognizable.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for co-brand value: sponsors pay for visibility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mockup accuracy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Compare actual printed prototype against the Canva/Figma co-brand template mockup from P1B Section 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Overlay photographs digitally. Color match: ΔE &lt;5 (acceptable for flexo on nonwoven). Size: ±0.5″ of template spec.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directors will compare the mockup they approved against the actual product. Must match closely.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Multi-color registration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co-brand prints requiring 2+ colors: check registration alignment between colors. Acceptable: ±1mm misalignment.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Examine 10 printed units with 10× loupe. If &gt;2 units exceed ±1mm: adjust print cylinder alignment at converter.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Single-color (white on nonwoven) avoids registration issues entirely; multi-color for premium co-brands only</w:t>
            </w:r>
          </w:p>
        </w:tc>
      </w:tr>
    </w:tbl>
    <w:p>
      <w:pPr>
        <w:spacing w:before="200"/>
      </w:pPr>
    </w:p>
    <w:p>
      <w:pPr>
        <w:pStyle w:val="Heading2"/>
        <w:spacing w:before="280" w:after="160"/>
      </w:pPr>
      <w:r>
        <w:rPr>
          <w:rFonts w:ascii="Arial" w:cs="Arial" w:eastAsia="Arial" w:hAnsi="Arial"/>
        </w:rPr>
        <w:t xml:space="preserve">4.1 Print Method Comparison</w:t>
      </w:r>
    </w:p>
    <w:p>
      <w:pPr>
        <w:spacing w:after="160"/>
      </w:pPr>
      <w:r>
        <w:rPr>
          <w:rFonts w:ascii="Arial" w:cs="Arial" w:eastAsia="Arial" w:hAnsi="Arial"/>
          <w:b w:val="false"/>
          <w:bCs w:val="false"/>
          <w:i w:val="false"/>
          <w:iCs w:val="false"/>
          <w:color w:val="000000"/>
          <w:sz w:val="22"/>
          <w:szCs w:val="22"/>
        </w:rPr>
        <w:t xml:space="preserve">Request from each converter: 10 units with single-color flexographic print (brand logo on back panel, white ink on nonwoven surface). AND 5 units with 2-color screen print (simulated co-brand: brand logo + placeholder race logo in contrasting colors). Compare: ink coverage consistency, edge sharpness (halftone dots visible at 12″?), registration accuracy between colors, and cost per unit difference between methods.</w:t>
      </w:r>
    </w:p>
    <w:p>
      <w:pPr>
        <w:spacing w:after="160"/>
      </w:pPr>
      <w:r>
        <w:rPr>
          <w:rFonts w:ascii="Arial" w:cs="Arial" w:eastAsia="Arial" w:hAnsi="Arial"/>
          <w:b w:val="false"/>
          <w:bCs w:val="false"/>
          <w:i w:val="false"/>
          <w:iCs w:val="false"/>
          <w:color w:val="000000"/>
          <w:sz w:val="22"/>
          <w:szCs w:val="22"/>
        </w:rPr>
        <w:t xml:space="preserve">EXPECTED OUTCOME: Flexo printing on PLA spunbond nonwoven produces acceptable results for 1–2 color applications. Screen printing offers slightly better ink opacity and color accuracy but at higher per-unit cost (+$0.02–$0.05/unit). For standard (non-co-branded) ponchos, flexo is sufficient. For premium co-branded ponchos, screen printing may be worth the premium — test and decide based on converter samples.</w:t>
      </w:r>
    </w:p>
    <w:p>
      <w:r>
        <w:br w:type="page"/>
      </w:r>
    </w:p>
    <w:p>
      <w:pPr>
        <w:pStyle w:val="Heading1"/>
        <w:spacing w:before="360" w:after="200"/>
      </w:pPr>
      <w:r>
        <w:rPr>
          <w:rFonts w:ascii="Arial" w:cs="Arial" w:eastAsia="Arial" w:hAnsi="Arial"/>
        </w:rPr>
        <w:t xml:space="preserve">5. Fit Testing Across Body Types: XS to XXL+</w:t>
      </w:r>
    </w:p>
    <w:p>
      <w:pPr>
        <w:spacing w:after="160"/>
      </w:pPr>
      <w:r>
        <w:rPr>
          <w:rFonts w:ascii="Arial" w:cs="Arial" w:eastAsia="Arial" w:hAnsi="Arial"/>
          <w:b/>
          <w:bCs/>
          <w:i w:val="false"/>
          <w:iCs w:val="false"/>
          <w:color w:val="000000"/>
          <w:sz w:val="22"/>
          <w:szCs w:val="22"/>
        </w:rPr>
        <w:t xml:space="preserve">The corral simulation (Section 2) tests the poncho on 10 runners across multiple body types. </w:t>
      </w:r>
      <w:r>
        <w:rPr>
          <w:rFonts w:ascii="Arial" w:cs="Arial" w:eastAsia="Arial" w:hAnsi="Arial"/>
          <w:b w:val="false"/>
          <w:bCs w:val="false"/>
          <w:i w:val="false"/>
          <w:iCs w:val="false"/>
          <w:color w:val="000000"/>
          <w:sz w:val="22"/>
          <w:szCs w:val="22"/>
        </w:rPr>
        <w:t xml:space="preserve">This section provides the specific fit evaluation framework to ensure the poncho serves the widest possible range of runners while being honest about its limitations.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Size Range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Fit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 / Action Items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XS/S (chest 32–38″, height 5’0″–5’5″)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fits loosely with generous drape. Hem reaches knee or below knee. Hood is proportionally large but functional with elastic adjustment.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May feel oversized. Document: “Generously cut for layering.” Hem length at knee level is acceptable for standing; would be long for running but the poncho is removed before running.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 (chest 38–42″, height 5’5″–5’10″)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Optimal fit. Hem at mid-thigh. Hood frames face with elastic adjusted. Arms move freely through oversized armholes.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is the “design center” body type. Product photos should feature this size range.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 (chest 42–46″, height 5’10″–6’1″)</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fit. Hem at upper thigh. Width comfortable with hydration vest underneath. Hood fits over baseball cap.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Second priority for product photography. Validate that branding zones remain centered on back panel.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XL (chest 46–50″, height 6’0″–6’3″)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Functional but snug through torso. Hem at high thigh. Armholes adequate but less excess fabric.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does snug fit cause discomfort during 30-min standing? Does metallized film crinkle/noise increase at tighter fit?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XXL+ (chest 50–54″+, height varies)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the limit of “one size fits most.” Width is tight; may pull across chest. Length is short on taller individuals.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 HONESTLY: at 54″+ chest, fit is tight but poncho is wearable. At 56″+ chest, consider: the poncho may not close fully at sides. Note in product listing. Evaluate XL variant for V1.5.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Arms/mobility test (all sizes)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 tester: raise arms overhead? Reach into side slits for race bib? Hold coffee cup? Check phone? Stretch quads?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sizes must pass the “5 movement test.” If ANY size fails ANY movement: adjust armhole dimensions or side slit length.</w:t>
            </w:r>
          </w:p>
        </w:tc>
      </w:tr>
    </w:tbl>
    <w:p>
      <w:pPr>
        <w:spacing w:before="200"/>
      </w:pPr>
    </w:p>
    <w:p>
      <w:pPr>
        <w:pStyle w:val="Heading2"/>
        <w:spacing w:before="280" w:after="160"/>
      </w:pPr>
      <w:r>
        <w:rPr>
          <w:rFonts w:ascii="Arial" w:cs="Arial" w:eastAsia="Arial" w:hAnsi="Arial"/>
        </w:rPr>
        <w:t xml:space="preserve">5.1 Fit Data Documentation</w:t>
      </w:r>
    </w:p>
    <w:p>
      <w:pPr>
        <w:spacing w:after="160"/>
      </w:pPr>
      <w:r>
        <w:rPr>
          <w:rFonts w:ascii="Arial" w:cs="Arial" w:eastAsia="Arial" w:hAnsi="Arial"/>
          <w:b w:val="false"/>
          <w:bCs w:val="false"/>
          <w:i w:val="false"/>
          <w:iCs w:val="false"/>
          <w:color w:val="000000"/>
          <w:sz w:val="22"/>
          <w:szCs w:val="22"/>
        </w:rPr>
        <w:t xml:space="preserve">For each tester, record: height, weight, chest circumference (over race-day base layer), and self-reported T-shirt size. Photograph front + back + side at 0 and 30 minutes. Document: hemline position (knee/mid-thigh/upper-thigh/hip), armhole gap (tight/comfortable/loose), hood coverage (full/partial/falls back), and side slit accessibility. Rate overall fit: 1 (too small) — 3 (perfect) — 5 (too large).</w:t>
      </w:r>
    </w:p>
    <w:p>
      <w:pPr>
        <w:pStyle w:val="Heading2"/>
        <w:spacing w:before="280" w:after="160"/>
      </w:pPr>
      <w:r>
        <w:rPr>
          <w:rFonts w:ascii="Arial" w:cs="Arial" w:eastAsia="Arial" w:hAnsi="Arial"/>
        </w:rPr>
        <w:t xml:space="preserve">5.2 Sizing Decision for V1</w:t>
      </w:r>
    </w:p>
    <w:p>
      <w:pPr>
        <w:spacing w:after="160"/>
      </w:pPr>
      <w:r>
        <w:rPr>
          <w:rFonts w:ascii="Arial" w:cs="Arial" w:eastAsia="Arial" w:hAnsi="Arial"/>
          <w:b w:val="false"/>
          <w:bCs w:val="false"/>
          <w:i w:val="false"/>
          <w:iCs w:val="false"/>
          <w:color w:val="000000"/>
          <w:sz w:val="22"/>
          <w:szCs w:val="22"/>
        </w:rPr>
        <w:t xml:space="preserve">V1 launches as “one size fits most” with honest sizing documentation per P1B Section 11.5. If fit testing reveals that ≥20% of the running population (e.g., chest &gt;50″ or height &lt;5’0″) experiences poor fit, evaluate: (A) adjusting base dimensions for V1 (wider or longer), OR (B) planning a second size (S/M and L/XL) for V1.5. Two sizes doubles inventory complexity and COGS per SKU — avoid if possible for V1.</w:t>
      </w:r>
    </w:p>
    <w:p>
      <w:r>
        <w:br w:type="page"/>
      </w:r>
    </w:p>
    <w:p>
      <w:pPr>
        <w:pStyle w:val="Heading1"/>
        <w:spacing w:before="360" w:after="200"/>
      </w:pPr>
      <w:r>
        <w:rPr>
          <w:rFonts w:ascii="Arial" w:cs="Arial" w:eastAsia="Arial" w:hAnsi="Arial"/>
        </w:rPr>
        <w:t xml:space="preserve">6. Supplier Selection: Weighted Scorecard</w:t>
      </w:r>
    </w:p>
    <w:p>
      <w:pPr>
        <w:spacing w:after="160"/>
      </w:pPr>
      <w:r>
        <w:rPr>
          <w:rFonts w:ascii="Arial" w:cs="Arial" w:eastAsia="Arial" w:hAnsi="Arial"/>
          <w:b/>
          <w:bCs/>
          <w:i w:val="false"/>
          <w:iCs w:val="false"/>
          <w:color w:val="000000"/>
          <w:sz w:val="22"/>
          <w:szCs w:val="22"/>
        </w:rPr>
        <w:t xml:space="preserve">After prototyping from 2–3 converters, select the primary production supplier </w:t>
      </w:r>
      <w:r>
        <w:rPr>
          <w:rFonts w:ascii="Arial" w:cs="Arial" w:eastAsia="Arial" w:hAnsi="Arial"/>
          <w:b w:val="false"/>
          <w:bCs w:val="false"/>
          <w:i w:val="false"/>
          <w:iCs w:val="false"/>
          <w:color w:val="000000"/>
          <w:sz w:val="22"/>
          <w:szCs w:val="22"/>
        </w:rPr>
        <w:t xml:space="preserve">using a weighted scorecard across 6 criteria. This structured evaluation prevents selection bias (choosing the cheapest or most responsive supplier without considering the full picture).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Criterion (Weight)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Sub-Factor 1</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Sub-Factor 2</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Sub-Factor 3</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Sub-Factor 4</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Sub-Factor 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Prototype quality (25%)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Dimensional accuracy (±0.5″)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Tear-away performance (3–5 N, clean path)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Seam strength (&gt;5 N/cm)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Print quality + adhesion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Overall construction finish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Unit cost at 5K volume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Unit cost at 25K volume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Unit cost at 100K volume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Co-brand print surcharge per color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Setup/tooling fees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Certification support (15%)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Existing compostable film certs held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Willingness to share TDS + test reports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Experience with BPI/TÜV certification process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Lab testing coordination capability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Timeline to full-product certification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MOQ &amp; flexibility (15%)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Minimum order quantity (standard)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Minimum for co-brand custom print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Lead time (standard 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Lead time (rush 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Willingness to hold safety stock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Communication &amp; reliability (10%)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Response time to emails/calls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Technical competence in discussions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Proactive problem identification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English fluency (if non-US supplier)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References from existing customers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Location &amp; logistics (10%)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Distance to US port / domestic warehouse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Freight cost per unit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Customs complexity (tariff classification experience)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Packaging + palletization standards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Returns/defect handling process</w:t>
            </w:r>
          </w:p>
        </w:tc>
      </w:tr>
    </w:tbl>
    <w:p>
      <w:pPr>
        <w:spacing w:before="200"/>
      </w:pPr>
    </w:p>
    <w:p>
      <w:pPr>
        <w:pStyle w:val="Heading2"/>
        <w:spacing w:before="280" w:after="160"/>
      </w:pPr>
      <w:r>
        <w:rPr>
          <w:rFonts w:ascii="Arial" w:cs="Arial" w:eastAsia="Arial" w:hAnsi="Arial"/>
        </w:rPr>
        <w:t xml:space="preserve">6.1 Scoring Process</w:t>
      </w:r>
    </w:p>
    <w:p>
      <w:pPr>
        <w:spacing w:after="160"/>
      </w:pPr>
      <w:r>
        <w:rPr>
          <w:rFonts w:ascii="Arial" w:cs="Arial" w:eastAsia="Arial" w:hAnsi="Arial"/>
          <w:b w:val="false"/>
          <w:bCs w:val="false"/>
          <w:i w:val="false"/>
          <w:iCs w:val="false"/>
          <w:color w:val="000000"/>
          <w:sz w:val="22"/>
          <w:szCs w:val="22"/>
        </w:rPr>
        <w:t xml:space="preserve">Score each sub-factor 1–5 (1 = poor, 5 = excellent). Multiply sub-factor average by category weight. Sum weighted scores for each converter. Maximum possible: 500 (all 5s × 100% weight). MINIMUM viable score for production supplier: 350/500. If no converter reaches 350: request revised samples, renegotiate terms, or source additional converters before committing.</w:t>
      </w:r>
    </w:p>
    <w:p>
      <w:pPr>
        <w:spacing w:after="160"/>
      </w:pPr>
      <w:r>
        <w:rPr>
          <w:rFonts w:ascii="Arial" w:cs="Arial" w:eastAsia="Arial" w:hAnsi="Arial"/>
          <w:b w:val="false"/>
          <w:bCs w:val="false"/>
          <w:i w:val="false"/>
          <w:iCs w:val="false"/>
          <w:color w:val="000000"/>
          <w:sz w:val="22"/>
          <w:szCs w:val="22"/>
        </w:rPr>
        <w:t xml:space="preserve">DECISION: Select the highest-scoring converter as PRIMARY supplier. Second-highest becomes BACKUP supplier (maintain relationship with small reorder every 6–12 months). Document the scoring rationale in writing — this becomes the basis for future supplier audits and any switching decisions.</w:t>
      </w:r>
    </w:p>
    <w:p>
      <w:pPr>
        <w:pStyle w:val="Heading2"/>
        <w:spacing w:before="280" w:after="160"/>
      </w:pPr>
      <w:r>
        <w:rPr>
          <w:rFonts w:ascii="Arial" w:cs="Arial" w:eastAsia="Arial" w:hAnsi="Arial"/>
        </w:rPr>
        <w:t xml:space="preserve">6.2 Supplier Site Visit (If Budget Allows)</w:t>
      </w:r>
    </w:p>
    <w:p>
      <w:pPr>
        <w:spacing w:after="160"/>
      </w:pPr>
      <w:r>
        <w:rPr>
          <w:rFonts w:ascii="Arial" w:cs="Arial" w:eastAsia="Arial" w:hAnsi="Arial"/>
          <w:b w:val="false"/>
          <w:bCs w:val="false"/>
          <w:i w:val="false"/>
          <w:iCs w:val="false"/>
          <w:color w:val="000000"/>
          <w:sz w:val="22"/>
          <w:szCs w:val="22"/>
        </w:rPr>
        <w:t xml:space="preserve">If the primary supplier is domestic (US/UK): schedule a 1-day factory visit ($200–$500 travel cost). Observe: production line cleanliness, material handling, QC processes, equipment condition, and workforce experience with compostable materials. If the primary supplier is in China: consider a third-party inspection service (QIMA $300–$500 per inspection, AsiaInspection $250–$450) for a pre-production audit. This is NOT mandatory for a prototype run but HIGHLY recommended before committing to a 25K+ unit production order.</w:t>
      </w:r>
    </w:p>
    <w:p>
      <w:r>
        <w:br w:type="page"/>
      </w:r>
    </w:p>
    <w:p>
      <w:pPr>
        <w:pStyle w:val="Heading1"/>
        <w:spacing w:before="360" w:after="200"/>
      </w:pPr>
      <w:r>
        <w:rPr>
          <w:rFonts w:ascii="Arial" w:cs="Arial" w:eastAsia="Arial" w:hAnsi="Arial"/>
        </w:rPr>
        <w:t xml:space="preserve">7. Production Terms Negotiation</w:t>
      </w:r>
    </w:p>
    <w:p>
      <w:pPr>
        <w:spacing w:after="160"/>
      </w:pPr>
      <w:r>
        <w:rPr>
          <w:rFonts w:ascii="Arial" w:cs="Arial" w:eastAsia="Arial" w:hAnsi="Arial"/>
          <w:b/>
          <w:bCs/>
          <w:i w:val="false"/>
          <w:iCs w:val="false"/>
          <w:color w:val="000000"/>
          <w:sz w:val="22"/>
          <w:szCs w:val="22"/>
        </w:rPr>
        <w:t xml:space="preserve">Negotiate production terms BEFORE placing the first bulk PO. </w:t>
      </w:r>
      <w:r>
        <w:rPr>
          <w:rFonts w:ascii="Arial" w:cs="Arial" w:eastAsia="Arial" w:hAnsi="Arial"/>
          <w:b w:val="false"/>
          <w:bCs w:val="false"/>
          <w:i w:val="false"/>
          <w:iCs w:val="false"/>
          <w:color w:val="000000"/>
          <w:sz w:val="22"/>
          <w:szCs w:val="22"/>
        </w:rPr>
        <w:t xml:space="preserve">Everything is negotiable at this stage — the converter wants your business and will make concessions to secure a multi-year customer. The following terms should be formalized in a written Manufacturing Agreement or Purchase Order Terms document.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Negotiation Target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 tiers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Negotiate 3–4 volume tiers. Target: 5K = $1.80–$2.20, 25K = $1.40–$1.60, 50K = $1.20–$1.40, 100K = $1.00–$1.20. Include: all materials, converting, folding, inner bag, and QC inspection. EXCLUDE: master carton, ocean freight, customs (negotiate separately).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poncho (brand logo only): base price. Co-branded (1 add’l color): +$0.03–$0.05/unit. Co-branded (2 add’l colors): +$0.06–$0.10/unit. Co-brand setup fee: $300–$800 per new design (print cylinder/screen). MOQ for co-brand: 3,000 units (match Heatsheets).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MOQ</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5,000 units (first order). Reorders: 2,500 units minimum. Co-brand: 3,000 units per design. Negotiate: 2,500-unit first order if committing to 10K+ within 6 months.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Lead time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4–6 weeks from PO (production) + 2–4 weeks ocean freight. Co-brand: +1–2 weeks for print setup. Rush: 2–3 weeks production at 15–25% premium. Plan: order 8–10 weeks before needed.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terms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30% deposit on PO, 70% upon shipment (T/T wire transfer). Ideal: 30/70 with net-30 on the 70% (effectively net-60 from PO). Fallback: 50/50 (deposit/shipment). NEVER 100% upfront on first order.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Quality guarantee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Defect rate: max 3% of shipped units. If exceeded: converter replaces defective units at no cost. Define “defect” explicitly: dimensional variance &gt;1″, tear-away force outside 2–8 N range, print misalignment &gt;2mm, metallization delamination &gt;5% of area, weight variance &gt;15%.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Exclusivity &amp; IP</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grant converter exclusive manufacturing rights. Retain all design IP. Require NDA (non-disclosure) before sharing factory tech spec. Factory must not produce identical product for competitors. Standard in industry but must be in writing.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Returns &amp; reorders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Defective batch: full replacement within 2 weeks of notification. Reorder: confirm lead time guarantee (same as initial order). Price lock: negotiate fixed pricing for 12 months from first PO.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Sample approval process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every production run: converter ships 3 golden samples for founder approval. Founder has 5 business days to approve/reject. Production begins ONLY after written approval. Rejected samples: converter revises and resubmits at no additional cost.</w:t>
            </w:r>
          </w:p>
        </w:tc>
      </w:tr>
    </w:tbl>
    <w:p>
      <w:pPr>
        <w:spacing w:before="200"/>
      </w:pPr>
    </w:p>
    <w:p>
      <w:pPr>
        <w:pStyle w:val="Heading2"/>
        <w:spacing w:before="280" w:after="160"/>
      </w:pPr>
      <w:r>
        <w:rPr>
          <w:rFonts w:ascii="Arial" w:cs="Arial" w:eastAsia="Arial" w:hAnsi="Arial"/>
        </w:rPr>
        <w:t xml:space="preserve">7.1 Manufacturing Agreement Template</w:t>
      </w:r>
    </w:p>
    <w:p>
      <w:pPr>
        <w:spacing w:after="160"/>
      </w:pPr>
      <w:r>
        <w:rPr>
          <w:rFonts w:ascii="Arial" w:cs="Arial" w:eastAsia="Arial" w:hAnsi="Arial"/>
          <w:b w:val="false"/>
          <w:bCs w:val="false"/>
          <w:i w:val="false"/>
          <w:iCs w:val="false"/>
          <w:color w:val="000000"/>
          <w:sz w:val="22"/>
          <w:szCs w:val="22"/>
        </w:rPr>
        <w:t xml:space="preserve">Have a business attorney ($500–$1,500) draft a Manufacturing Agreement covering: (1) Pricing and payment terms, (2) MOQ and lead time commitments, (3) Quality standards and defect definitions, (4) IP ownership and NDA, (5) Exclusivity limitations, (6) Force majeure clause, (7) Dispute resolution (specify jurisdiction), (8) Term and termination conditions. For a first order of 5K–25K units, a detailed Purchase Order with attached Terms &amp; Conditions is sufficient; a full Manufacturing Agreement becomes necessary at 50K+ annual volume or when adding co-brand production.</w:t>
      </w:r>
    </w:p>
    <w:p>
      <w:pPr>
        <w:pStyle w:val="Heading2"/>
        <w:spacing w:before="280" w:after="160"/>
      </w:pPr>
      <w:r>
        <w:rPr>
          <w:rFonts w:ascii="Arial" w:cs="Arial" w:eastAsia="Arial" w:hAnsi="Arial"/>
        </w:rPr>
        <w:t xml:space="preserve">7.2 First Production Order Decision Gate</w:t>
      </w:r>
    </w:p>
    <w:p>
      <w:pPr>
        <w:spacing w:after="160"/>
      </w:pPr>
      <w:r>
        <w:rPr>
          <w:rFonts w:ascii="Arial" w:cs="Arial" w:eastAsia="Arial" w:hAnsi="Arial"/>
          <w:b w:val="false"/>
          <w:bCs w:val="false"/>
          <w:i w:val="false"/>
          <w:iCs w:val="false"/>
          <w:color w:val="000000"/>
          <w:sz w:val="22"/>
          <w:szCs w:val="22"/>
        </w:rPr>
        <w:t xml:space="preserve">DO NOT place the first production order until ALL of the following are confirmed: (1) Corral simulation ≥8/10 pass rate on warmth + comfort + tear-away + buy intent. (2) Tear-away validation passes in ALL 7 conditions (Section 3). (3) Print quality meets acceptance criteria (Section 4). (4) Fit testing confirms “one size fits most” works for ≥80% of body types. (5) Pricing terms are within P0F target ranges. (6) BPI certification is initiated or supplier certifications are leverageable for soft launch. (7) At least 3 race director LOIs confirmed for Fall 2026 pilots (from P1E B2B outreach). If ANY gate fails: document the issue, propose a fix, and re-test before committing inventory dollars.</w:t>
      </w:r>
    </w:p>
    <w:p>
      <w:r>
        <w:br w:type="page"/>
      </w:r>
    </w:p>
    <w:p>
      <w:pPr>
        <w:pStyle w:val="Heading1"/>
        <w:spacing w:before="360" w:after="200"/>
      </w:pPr>
      <w:r>
        <w:rPr>
          <w:rFonts w:ascii="Arial" w:cs="Arial" w:eastAsia="Arial" w:hAnsi="Arial"/>
        </w:rPr>
        <w:t xml:space="preserve">8. Timeline: 5-Week Prototype Sprint</w:t>
      </w:r>
    </w:p>
    <w:p>
      <w:pPr>
        <w:spacing w:after="160"/>
      </w:pPr>
      <w:r>
        <w:rPr>
          <w:rFonts w:ascii="Arial" w:cs="Arial" w:eastAsia="Arial" w:hAnsi="Arial"/>
          <w:b/>
          <w:bCs/>
          <w:i w:val="false"/>
          <w:iCs w:val="false"/>
          <w:color w:val="000000"/>
          <w:sz w:val="22"/>
          <w:szCs w:val="22"/>
        </w:rPr>
        <w:t xml:space="preserve">WEEK 8: Send factory tech spec to 2–3 converters. Pay sample deposits. Receive and inspect any fast-turnaround prototypes (ProAmpac may deliver in 2 weeks). Begin preparing corral simulation logistics (venue, testers, equipment).</w:t>
      </w:r>
    </w:p>
    <w:p>
      <w:pPr>
        <w:spacing w:after="160"/>
      </w:pPr>
      <w:r>
        <w:rPr>
          <w:rFonts w:ascii="Arial" w:cs="Arial" w:eastAsia="Arial" w:hAnsi="Arial"/>
          <w:b/>
          <w:bCs/>
          <w:i w:val="false"/>
          <w:iCs w:val="false"/>
          <w:color w:val="000000"/>
          <w:sz w:val="22"/>
          <w:szCs w:val="22"/>
        </w:rPr>
        <w:t xml:space="preserve">WEEK 9: Receive remaining converter prototypes. Conduct receiving inspection (Section 1.2). Schedule corral simulation for Week 10. Order comparison products (Heatsheets blankets, garbage bags). Prepare data collection templates.</w:t>
      </w:r>
    </w:p>
    <w:p>
      <w:pPr>
        <w:spacing w:after="160"/>
      </w:pPr>
      <w:r>
        <w:rPr>
          <w:rFonts w:ascii="Arial" w:cs="Arial" w:eastAsia="Arial" w:hAnsi="Arial"/>
          <w:b/>
          <w:bCs/>
          <w:i w:val="false"/>
          <w:iCs w:val="false"/>
          <w:color w:val="000000"/>
          <w:sz w:val="22"/>
          <w:szCs w:val="22"/>
        </w:rPr>
        <w:t xml:space="preserve">WEEK 10: CORRAL SIMULATION WEEK. Conduct full 10-person test per Section 2 protocol. Document all data. Conduct tear-away validation (Section 3) on all converter prototypes. Begin print quality testing (Section 4).</w:t>
      </w:r>
    </w:p>
    <w:p>
      <w:pPr>
        <w:spacing w:after="160"/>
      </w:pPr>
      <w:r>
        <w:rPr>
          <w:rFonts w:ascii="Arial" w:cs="Arial" w:eastAsia="Arial" w:hAnsi="Arial"/>
          <w:b/>
          <w:bCs/>
          <w:i w:val="false"/>
          <w:iCs w:val="false"/>
          <w:color w:val="000000"/>
          <w:sz w:val="22"/>
          <w:szCs w:val="22"/>
        </w:rPr>
        <w:t xml:space="preserve">WEEK 11: Compile all data into prototype evaluation report. Score converters on weighted scorecard (Section 6). Identify any must-fix issues. If prototypes pass: begin production terms negotiation (Section 7). If prototypes fail: request revisions from converters; schedule re-test for Week 12.</w:t>
      </w:r>
    </w:p>
    <w:p>
      <w:pPr>
        <w:spacing w:after="160"/>
      </w:pPr>
      <w:r>
        <w:rPr>
          <w:rFonts w:ascii="Arial" w:cs="Arial" w:eastAsia="Arial" w:hAnsi="Arial"/>
          <w:b/>
          <w:bCs/>
          <w:i w:val="false"/>
          <w:iCs w:val="false"/>
          <w:color w:val="000000"/>
          <w:sz w:val="22"/>
          <w:szCs w:val="22"/>
        </w:rPr>
        <w:t xml:space="preserve">WEEK 12: DECISION WEEK. Finalize supplier selection. Sign Manufacturing Agreement or PO with Terms. Place first production order (5K–25K units per Moderate scenario). Confirm lead time for delivery before Fall 2026 race season. Handoff to P2D (Sustainability Verification) for full-product certification initiation.</w:t>
      </w:r>
    </w:p>
    <w:p>
      <w:pPr>
        <w:spacing w:after="160"/>
      </w:pPr>
      <w:r>
        <w:rPr>
          <w:rFonts w:ascii="Arial" w:cs="Arial" w:eastAsia="Arial" w:hAnsi="Arial"/>
          <w:b w:val="false"/>
          <w:bCs w:val="false"/>
          <w:i w:val="false"/>
          <w:iCs w:val="false"/>
          <w:color w:val="000000"/>
          <w:sz w:val="22"/>
          <w:szCs w:val="22"/>
        </w:rPr>
        <w:t xml:space="preserve">Budget for P2C sprint: $2,000–$5,500. Includes: prototype orders from 2–3 converters ($1,200–$3,200), tester compensation ($250–$300 for 10 testers), comparison products ($150–$200 for Heatsheets + thrift store items), equipment (spring gauge $20, thermocouple loggers from P2A $0 if reused, anemometer $15–20), venue ($0 if outdoor public space), and data analysis tools ($0, Google Sheets).</w:t>
      </w:r>
    </w:p>
    <w:p>
      <w:r>
        <w:br w:type="page"/>
      </w:r>
    </w:p>
    <w:p>
      <w:pPr>
        <w:pStyle w:val="Heading1"/>
        <w:spacing w:before="360" w:after="200"/>
      </w:pPr>
      <w:r>
        <w:rPr>
          <w:rFonts w:ascii="Arial" w:cs="Arial" w:eastAsia="Arial" w:hAnsi="Arial"/>
        </w:rPr>
        <w:t xml:space="preserve">9. Prototype-to-Production Readiness Checklist</w:t>
      </w:r>
    </w:p>
    <w:p>
      <w:pPr>
        <w:spacing w:after="160"/>
      </w:pPr>
      <w:r>
        <w:rPr>
          <w:rFonts w:ascii="Arial" w:cs="Arial" w:eastAsia="Arial" w:hAnsi="Arial"/>
          <w:b/>
          <w:bCs/>
          <w:i w:val="false"/>
          <w:iCs w:val="false"/>
          <w:color w:val="000000"/>
          <w:sz w:val="22"/>
          <w:szCs w:val="22"/>
        </w:rPr>
        <w:t xml:space="preserve">✅ Corral simulation: ≥8/10 testers pass warmth (≥6/10) + comfort (≥6/10) + buy intent ($9.99 yes) + NPS (≥50)</w:t>
      </w:r>
    </w:p>
    <w:p>
      <w:pPr>
        <w:spacing w:after="160"/>
      </w:pPr>
      <w:r>
        <w:rPr>
          <w:rFonts w:ascii="Arial" w:cs="Arial" w:eastAsia="Arial" w:hAnsi="Arial"/>
          <w:b/>
          <w:bCs/>
          <w:i w:val="false"/>
          <w:iCs w:val="false"/>
          <w:color w:val="000000"/>
          <w:sz w:val="22"/>
          <w:szCs w:val="22"/>
        </w:rPr>
        <w:t xml:space="preserve">✅ Tear-away: passes ALL 7 conditions with ≥80% clean-tear rate and ≤3 sec average in cold-wet-hand test</w:t>
      </w:r>
    </w:p>
    <w:p>
      <w:pPr>
        <w:spacing w:after="160"/>
      </w:pPr>
      <w:r>
        <w:rPr>
          <w:rFonts w:ascii="Arial" w:cs="Arial" w:eastAsia="Arial" w:hAnsi="Arial"/>
          <w:b/>
          <w:bCs/>
          <w:i w:val="false"/>
          <w:iCs w:val="false"/>
          <w:color w:val="000000"/>
          <w:sz w:val="22"/>
          <w:szCs w:val="22"/>
        </w:rPr>
        <w:t xml:space="preserve">✅ Print quality: tape adhesion &lt;5% lift, body-heat durability confirmed, legibility at 25 ft, co-brand mockup accuracy ΔE &lt;5</w:t>
      </w:r>
    </w:p>
    <w:p>
      <w:pPr>
        <w:spacing w:after="160"/>
      </w:pPr>
      <w:r>
        <w:rPr>
          <w:rFonts w:ascii="Arial" w:cs="Arial" w:eastAsia="Arial" w:hAnsi="Arial"/>
          <w:b/>
          <w:bCs/>
          <w:i w:val="false"/>
          <w:iCs w:val="false"/>
          <w:color w:val="000000"/>
          <w:sz w:val="22"/>
          <w:szCs w:val="22"/>
        </w:rPr>
        <w:t xml:space="preserve">✅ Fit: works for ≥80% of body types tested (XS–XXL); honest sizing documented for product listing</w:t>
      </w:r>
    </w:p>
    <w:p>
      <w:pPr>
        <w:spacing w:after="160"/>
      </w:pPr>
      <w:r>
        <w:rPr>
          <w:rFonts w:ascii="Arial" w:cs="Arial" w:eastAsia="Arial" w:hAnsi="Arial"/>
          <w:b/>
          <w:bCs/>
          <w:i w:val="false"/>
          <w:iCs w:val="false"/>
          <w:color w:val="000000"/>
          <w:sz w:val="22"/>
          <w:szCs w:val="22"/>
        </w:rPr>
        <w:t xml:space="preserve">✅ Supplier selected: weighted scorecard ≥350/500; backup supplier identified</w:t>
      </w:r>
    </w:p>
    <w:p>
      <w:pPr>
        <w:spacing w:after="160"/>
      </w:pPr>
      <w:r>
        <w:rPr>
          <w:rFonts w:ascii="Arial" w:cs="Arial" w:eastAsia="Arial" w:hAnsi="Arial"/>
          <w:b/>
          <w:bCs/>
          <w:i w:val="false"/>
          <w:iCs w:val="false"/>
          <w:color w:val="000000"/>
          <w:sz w:val="22"/>
          <w:szCs w:val="22"/>
        </w:rPr>
        <w:t xml:space="preserve">✅ Production terms: pricing within P0F targets, MOQ ≤25K, lead time ≤6 weeks, 30/70 payment terms, quality guarantee ≤3% defect rate, NDA + IP protection signed</w:t>
      </w:r>
    </w:p>
    <w:p>
      <w:pPr>
        <w:spacing w:after="160"/>
      </w:pPr>
      <w:r>
        <w:rPr>
          <w:rFonts w:ascii="Arial" w:cs="Arial" w:eastAsia="Arial" w:hAnsi="Arial"/>
          <w:b/>
          <w:bCs/>
          <w:i w:val="false"/>
          <w:iCs w:val="false"/>
          <w:color w:val="000000"/>
          <w:sz w:val="22"/>
          <w:szCs w:val="22"/>
        </w:rPr>
        <w:t xml:space="preserve">✅ B2B demand confirmed: ≥3 race director LOIs for Fall 2026 pilots</w:t>
      </w:r>
    </w:p>
    <w:p>
      <w:pPr>
        <w:spacing w:after="160"/>
      </w:pPr>
      <w:r>
        <w:rPr>
          <w:rFonts w:ascii="Arial" w:cs="Arial" w:eastAsia="Arial" w:hAnsi="Arial"/>
          <w:b/>
          <w:bCs/>
          <w:i w:val="false"/>
          <w:iCs w:val="false"/>
          <w:color w:val="000000"/>
          <w:sz w:val="22"/>
          <w:szCs w:val="22"/>
        </w:rPr>
        <w:t xml:space="preserve">✅ Certification path: BPI testing initiated OR supplier certs leverageable for soft launch</w:t>
      </w:r>
    </w:p>
    <w:p>
      <w:pPr>
        <w:spacing w:after="160"/>
      </w:pPr>
      <w:r>
        <w:rPr>
          <w:rFonts w:ascii="Arial" w:cs="Arial" w:eastAsia="Arial" w:hAnsi="Arial"/>
          <w:b w:val="false"/>
          <w:bCs w:val="false"/>
          <w:i w:val="false"/>
          <w:iCs w:val="false"/>
          <w:color w:val="000000"/>
          <w:sz w:val="22"/>
          <w:szCs w:val="22"/>
        </w:rPr>
        <w:t xml:space="preserve">If ALL 8 boxes are checked: proceed to production order. If ANY box is unchecked: resolve before committing capital to inventory. The cost of delaying production by 2–4 weeks is far less than the cost of launching with a flawed product or insufficient demand validation.</w:t>
      </w:r>
    </w:p>
    <w:p>
      <w:r>
        <w:br w:type="page"/>
      </w:r>
    </w:p>
    <w:p>
      <w:pPr>
        <w:pStyle w:val="Heading1"/>
        <w:spacing w:before="360" w:after="200"/>
      </w:pPr>
      <w:r>
        <w:rPr>
          <w:rFonts w:ascii="Arial" w:cs="Arial" w:eastAsia="Arial" w:hAnsi="Arial"/>
        </w:rPr>
        <w:t xml:space="preserve">10. Conclusion: The Prototype Is the Product’s Audition</w:t>
      </w:r>
    </w:p>
    <w:p>
      <w:pPr>
        <w:spacing w:after="160"/>
      </w:pPr>
      <w:r>
        <w:rPr>
          <w:rFonts w:ascii="Arial" w:cs="Arial" w:eastAsia="Arial" w:hAnsi="Arial"/>
          <w:b/>
          <w:bCs/>
          <w:i w:val="false"/>
          <w:iCs w:val="false"/>
          <w:color w:val="000000"/>
          <w:sz w:val="22"/>
          <w:szCs w:val="22"/>
        </w:rPr>
        <w:t xml:space="preserve">The prototype phase is the product’s audition in front of its future customers. </w:t>
      </w:r>
      <w:r>
        <w:rPr>
          <w:rFonts w:ascii="Arial" w:cs="Arial" w:eastAsia="Arial" w:hAnsi="Arial"/>
          <w:b w:val="false"/>
          <w:bCs w:val="false"/>
          <w:i w:val="false"/>
          <w:iCs w:val="false"/>
          <w:color w:val="000000"/>
          <w:sz w:val="22"/>
          <w:szCs w:val="22"/>
        </w:rPr>
        <w:t xml:space="preserve">10 runners standing in the cold for 30 minutes will tell you more about the product’s viability than any spreadsheet, material data sheet, or competitor analysis. Their skin temperature data quantifies warmth. Their tear-away times quantify convenience. Their “would you pay $9.99?” answers quantify market demand. Their open-ended improvement suggestions write the V1.5 roadmap.</w:t>
      </w:r>
    </w:p>
    <w:p>
      <w:pPr>
        <w:spacing w:after="160"/>
      </w:pPr>
      <w:r>
        <w:rPr>
          <w:rFonts w:ascii="Arial" w:cs="Arial" w:eastAsia="Arial" w:hAnsi="Arial"/>
          <w:b/>
          <w:bCs/>
          <w:i w:val="false"/>
          <w:iCs w:val="false"/>
          <w:color w:val="000000"/>
          <w:sz w:val="22"/>
          <w:szCs w:val="22"/>
        </w:rPr>
        <w:t xml:space="preserve">The comparison test is the hidden weapon. </w:t>
      </w:r>
      <w:r>
        <w:rPr>
          <w:rFonts w:ascii="Arial" w:cs="Arial" w:eastAsia="Arial" w:hAnsi="Arial"/>
          <w:b w:val="false"/>
          <w:bCs w:val="false"/>
          <w:i w:val="false"/>
          <w:iCs w:val="false"/>
          <w:color w:val="000000"/>
          <w:sz w:val="22"/>
          <w:szCs w:val="22"/>
        </w:rPr>
        <w:t xml:space="preserve">When 9 out of 10 testers prefer the compostable poncho over a garbage bag, that data point becomes the lead of every sales email, the hero stat of the pitch deck, and the first line of every Amazon review response. “In independent testing, 90% of runners preferred [BRAND] over their current start-line solution.” That sentence is worth the entire P2C budget.</w:t>
      </w:r>
    </w:p>
    <w:p>
      <w:pPr>
        <w:spacing w:after="160"/>
      </w:pPr>
      <w:r>
        <w:rPr>
          <w:rFonts w:ascii="Arial" w:cs="Arial" w:eastAsia="Arial" w:hAnsi="Arial"/>
          <w:b/>
          <w:bCs/>
          <w:i w:val="false"/>
          <w:iCs w:val="false"/>
          <w:color w:val="000000"/>
          <w:sz w:val="22"/>
          <w:szCs w:val="22"/>
        </w:rPr>
        <w:t xml:space="preserve">Do not skip. Do not rush. Do not cut corners. </w:t>
      </w:r>
      <w:r>
        <w:rPr>
          <w:rFonts w:ascii="Arial" w:cs="Arial" w:eastAsia="Arial" w:hAnsi="Arial"/>
          <w:b w:val="false"/>
          <w:bCs w:val="false"/>
          <w:i w:val="false"/>
          <w:iCs w:val="false"/>
          <w:color w:val="000000"/>
          <w:sz w:val="22"/>
          <w:szCs w:val="22"/>
        </w:rPr>
        <w:t xml:space="preserve">A single weekend of rigorous prototype testing prevents months of customer complaints, negative reviews, and race-director disappointment. The product’s reputation is set by its first 100 users. Make those 100 users the 10 testers who helped design it and the 90 runners at your first 3 pilot races. They become your advocates, your reviewers, and your referral network. Give them a product worth advocating for.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2026-03-20T09:29:51.465Z</dcterms:created>
  <dcterms:modified xsi:type="dcterms:W3CDTF">2026-03-20T09:29:51.465Z</dcterms:modified>
</cp:coreProperties>
</file>

<file path=docProps/custom.xml><?xml version="1.0" encoding="utf-8"?>
<Properties xmlns="http://schemas.openxmlformats.org/officeDocument/2006/custom-properties" xmlns:vt="http://schemas.openxmlformats.org/officeDocument/2006/docPropsVTypes"/>
</file>