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P2D: SUSTAINABILITY</w:t>
      </w:r>
    </w:p>
    <w:p>
      <w:pPr>
        <w:spacing w:after="200"/>
        <w:jc w:val="center"/>
      </w:pPr>
      <w:r>
        <w:rPr>
          <w:rFonts w:ascii="Arial" w:cs="Arial" w:eastAsia="Arial" w:hAnsi="Arial"/>
          <w:b/>
          <w:bCs/>
          <w:color w:val="1B3A6B"/>
          <w:sz w:val="44"/>
          <w:szCs w:val="44"/>
        </w:rPr>
        <w:t xml:space="preserve">VERIFICATION</w:t>
      </w:r>
    </w:p>
    <w:p>
      <w:pPr>
        <w:pBdr>
          <w:bottom w:val="single" w:color="2E5090" w:sz="6" w:space="12"/>
        </w:pBdr>
        <w:spacing w:after="100"/>
        <w:jc w:val="center"/>
      </w:pPr>
      <w:r>
        <w:rPr>
          <w:rFonts w:ascii="Arial" w:cs="Arial" w:eastAsia="Arial" w:hAnsi="Arial"/>
          <w:color w:val="666666"/>
          <w:sz w:val="24"/>
          <w:szCs w:val="24"/>
        </w:rPr>
        <w:t xml:space="preserve">Sub-Project P2D  |  Product Design &amp; Material Engineering  |  Weeks 8–12</w:t>
      </w:r>
    </w:p>
    <w:p>
      <w:pPr>
        <w:spacing w:before="400"/>
        <w:jc w:val="center"/>
      </w:pPr>
      <w:r>
        <w:rPr>
          <w:rFonts w:ascii="Arial" w:cs="Arial" w:eastAsia="Arial" w:hAnsi="Arial"/>
          <w:i/>
          <w:iCs/>
          <w:color w:val="888888"/>
          <w:sz w:val="22"/>
          <w:szCs w:val="22"/>
        </w:rPr>
        <w:t xml:space="preserve">Complete Certification Playbook: BPI + EN 13432 + HOME Cert Paths, Component Verification, Decomposition Science, Shelf Life Protocol, Sustainability Claims Document, and Race-Day Composting Logistics Guide</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Sustainability verification is the legal and ethical foundation of the entire brand. </w:t>
      </w:r>
      <w:r>
        <w:rPr>
          <w:rFonts w:ascii="Arial" w:cs="Arial" w:eastAsia="Arial" w:hAnsi="Arial"/>
          <w:b w:val="false"/>
          <w:bCs w:val="false"/>
          <w:i w:val="false"/>
          <w:iCs w:val="false"/>
          <w:color w:val="000000"/>
          <w:sz w:val="22"/>
          <w:szCs w:val="22"/>
        </w:rPr>
        <w:t xml:space="preserve">Every claim in P1C (“certified compostable,” “composts in 90 days,” “zero microplastics”) must be backed by third-party laboratory data and formal certification. Without BPI certification, the brand cannot legally use compostability claims in the US market under FTC Green Guides. Without EN 13432 certification, the brand cannot enter the EU market. This document maps every certification path, verifies every component, documents honest decomposition timelines, establishes shelf life testing, builds a legally vetted sustainability claims reference, and provides race directors with a practical composting logistics guide.</w:t>
      </w:r>
    </w:p>
    <w:p>
      <w:pPr>
        <w:spacing w:after="160"/>
      </w:pPr>
      <w:r>
        <w:rPr>
          <w:rFonts w:ascii="Arial" w:cs="Arial" w:eastAsia="Arial" w:hAnsi="Arial"/>
          <w:b/>
          <w:bCs/>
          <w:i w:val="false"/>
          <w:iCs w:val="false"/>
          <w:color w:val="000000"/>
          <w:sz w:val="22"/>
          <w:szCs w:val="22"/>
        </w:rPr>
        <w:t xml:space="preserve">RECOMMENDED CERTIFICATION STRATEGY: </w:t>
      </w:r>
      <w:r>
        <w:rPr>
          <w:rFonts w:ascii="Arial" w:cs="Arial" w:eastAsia="Arial" w:hAnsi="Arial"/>
          <w:b w:val="false"/>
          <w:bCs w:val="false"/>
          <w:i w:val="false"/>
          <w:iCs w:val="false"/>
          <w:color w:val="000000"/>
          <w:sz w:val="22"/>
          <w:szCs w:val="22"/>
        </w:rPr>
        <w:t xml:space="preserve">Phase 1 (Months 1–6): Initiate BPI Commercial certification using ASTM D6400 at a BPI-approved lab. Leverage NatureFlex NM’s existing BPI cert (#C119399) to simplify the test scheme. Budget: $7,500–$15,000. Phase 2 (Months 6–12): Add BPI HOME certification (new 2025 program, NF T 51-800) if PLA spunbond passes ambient-temperature biodegradation testing. Budget: $10,000–$18,000. Phase 3 (Year 2): Add TÜV OK Compost INDUSTRIAL + HOME for EU/international market entry. Budget: $10,000–$25,000. Total certification budget: $27,500–$58,000 across 18 months.</w:t>
      </w:r>
    </w:p>
    <w:p>
      <w:r>
        <w:br w:type="page"/>
      </w:r>
    </w:p>
    <w:p>
      <w:pPr>
        <w:pStyle w:val="Heading1"/>
        <w:spacing w:before="360" w:after="200"/>
      </w:pPr>
      <w:r>
        <w:rPr>
          <w:rFonts w:ascii="Arial" w:cs="Arial" w:eastAsia="Arial" w:hAnsi="Arial"/>
        </w:rPr>
        <w:t xml:space="preserve">1. Certification Pathways: Which Certs, When, and Why</w:t>
      </w:r>
    </w:p>
    <w:p>
      <w:pPr>
        <w:spacing w:after="160"/>
      </w:pPr>
      <w:r>
        <w:rPr>
          <w:rFonts w:ascii="Arial" w:cs="Arial" w:eastAsia="Arial" w:hAnsi="Arial"/>
          <w:b/>
          <w:bCs/>
          <w:i w:val="false"/>
          <w:iCs w:val="false"/>
          <w:color w:val="000000"/>
          <w:sz w:val="22"/>
          <w:szCs w:val="22"/>
        </w:rPr>
        <w:t xml:space="preserve">Five certification programs are relevant to the product. </w:t>
      </w:r>
      <w:r>
        <w:rPr>
          <w:rFonts w:ascii="Arial" w:cs="Arial" w:eastAsia="Arial" w:hAnsi="Arial"/>
          <w:b w:val="false"/>
          <w:bCs w:val="false"/>
          <w:i w:val="false"/>
          <w:iCs w:val="false"/>
          <w:color w:val="000000"/>
          <w:sz w:val="22"/>
          <w:szCs w:val="22"/>
        </w:rPr>
        <w:t xml:space="preserve">Not all are needed simultaneously. The phased strategy above prioritizes BPI Commercial first (US market launch), BPI HOME second (premium differentiation), and EU certs third (Year 2 international expansion per P0G roadmap).</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2000"/>
        <w:gridCol w:w="1200"/>
        <w:gridCol w:w="1200"/>
        <w:gridCol w:w="18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Certification</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Market</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Requirements</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Cost</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Timeline</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BPI Commercial (ASTM D6400)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North America (required)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Biodegradation: ≥90% in 180 days. Disintegration: not visually distinguishable in compost at 84 days. Ecotoxicity: no adverse effect on plant growth. Heavy metals: below defined thresholds. PFAS: &lt;100 ppm total fluorine.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$7,500–$25,000 (lab testing + BPI application fee)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6–12 months from sample submission to certificate. Lab testing: 3–6 months. BPI review: 2–4 months.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bpiworld.org — THE critical certification for US market. Required by every US state with compostability labeling laws. Must display BPI Certification Mark on product.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TÜV Austria OK Compost INDUSTRIAL (EN 13432)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Europe + International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Biodegradation: ≥90% in 6 months. Disintegration: ≥90% passes 2mm sieve at 12 weeks. Ecotoxicity: compliant with plant growth test. Heavy metals: EN 13432 limits. Chemical analysis of composition required.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$10,000–$20,000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4–8 months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tuv-at.be — Required for EU market entry. “Seedling” logo license included. Equivalent to BPI for industrial composting.</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TÜV Austria OK Compost HOME (NF T 51-800)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Premium global</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Biodegradation: ≥90% at 20–30°C within 12 months. Disintegration: ≥90% at 20–30°C within 6 months. Ecotoxicity: same as EN 13432.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$12,000–$25,000 (additional to INDUSTRIAL)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6–12 months (can run parallel with industrial)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PREMIUM certification. Differentiates from competitors. NatureFlex NM already holds this. PLA spunbond layer is the HOME cert risk — PLA degrades slowly at ambient temp.</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BPI Home Compostability (NF T 51-800)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North America (new 2025)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Based on French NF T 51-800. Same requirements as TÜV HOME. Launched 2025.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$10,000–$18,000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6–12 months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NEW PROGRAM. Establishes home compostability claim in US market. Consider pursuing alongside or instead of TÜV HOME for US-first strategy.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DIN CERTCO (EN 13432)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Europe (alternative to TÜV)</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Same EN 13432 requirements. Issues “Seedling” logo under license from European Bioplastics.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$8,000–$15,000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4–8 months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Alternative to TÜV in EU. Some suppliers (Parkside) already hold DIN CERTCO certs.</w:t>
            </w:r>
          </w:p>
        </w:tc>
      </w:tr>
    </w:tbl>
    <w:p>
      <w:r>
        <w:br w:type="page"/>
      </w:r>
    </w:p>
    <w:p>
      <w:pPr>
        <w:pStyle w:val="Heading1"/>
        <w:spacing w:before="360" w:after="200"/>
      </w:pPr>
      <w:r>
        <w:rPr>
          <w:rFonts w:ascii="Arial" w:cs="Arial" w:eastAsia="Arial" w:hAnsi="Arial"/>
        </w:rPr>
        <w:t xml:space="preserve">2. BPI-Approved Testing Laboratories</w:t>
      </w:r>
    </w:p>
    <w:p>
      <w:pPr>
        <w:spacing w:after="160"/>
      </w:pPr>
      <w:r>
        <w:rPr>
          <w:rFonts w:ascii="Arial" w:cs="Arial" w:eastAsia="Arial" w:hAnsi="Arial"/>
          <w:b/>
          <w:bCs/>
          <w:i w:val="false"/>
          <w:iCs w:val="false"/>
          <w:color w:val="000000"/>
          <w:sz w:val="22"/>
          <w:szCs w:val="22"/>
        </w:rPr>
        <w:t xml:space="preserve">BPI requires testing at an approved independent lab. </w:t>
      </w:r>
      <w:r>
        <w:rPr>
          <w:rFonts w:ascii="Arial" w:cs="Arial" w:eastAsia="Arial" w:hAnsi="Arial"/>
          <w:b w:val="false"/>
          <w:bCs w:val="false"/>
          <w:i w:val="false"/>
          <w:iCs w:val="false"/>
          <w:color w:val="000000"/>
          <w:sz w:val="22"/>
          <w:szCs w:val="22"/>
        </w:rPr>
        <w:t xml:space="preserve">The applicant chooses the lab; BPI reviews the lab’s test results. The following labs are approved by BPI for ASTM D6400 testing as of March 2026.</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800"/>
        <w:gridCol w:w="1000"/>
        <w:gridCol w:w="900"/>
        <w:gridCol w:w="1400"/>
        <w:gridCol w:w="22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Lab</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Location</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Cert Programs</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Test Standards</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Est. Cost</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Contact</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Normec OWS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Kettering, OH (US) + Ghent, Belgium</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BPI + TÜV + DIN CERTCO</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ASTM D6400, EN 13432, NF T 51-800, marine biodegradation</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$15,000–$25,000 for full ASTM D6400 package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maggie.mcdonald@normecgroup.com; 937-999-4845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Gold standard lab. 25+ years experience. Can run US + EU certs simultaneously.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Advanced Materials Center (AMC)</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Morris, IL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BPI (commercial only)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ASTM D6400, ASTM D6868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$7,500–$12,000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ggeil84@aol.com; 815-705-0115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BPI-approved. US commercial testing only (no HOME cert). Lower cost option for BPI-first strategy.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RespirTek</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Ocean Springs, MS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BPI (commercial only)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ASTM D6400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$8,000–$15,000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jmartin@respirtek.com; 228-392-7977</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BPI-approved lab. Smaller operation. May offer faster turnaround for simpler test schemes.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WIST (Wisconsin Institute for Sustainable Technology)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Stevens Point, WI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BPI + research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ASTM D6400, custom composting research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$7,500–$15,000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pfowler@uwsp.edu; 715-340-5189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University lab. Can provide both certification testing AND custom research (e.g., real-world race composting simulation). Potential academic partnership.</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TÜV Austria / SMK (EU)</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Vienna, Austria / Netherlands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TÜV OK Compost INDUSTRIAL + HOME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 13432, NF T 51-800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$10,000–$25,000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tuv-at.be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EU-focused. Direct TÜV certification without intermediary. Required for OK Compost logo.</w:t>
            </w:r>
          </w:p>
        </w:tc>
      </w:tr>
    </w:tbl>
    <w:p>
      <w:pPr>
        <w:spacing w:before="200"/>
      </w:pPr>
    </w:p>
    <w:p>
      <w:pPr>
        <w:pStyle w:val="Heading2"/>
        <w:spacing w:before="280" w:after="160"/>
      </w:pPr>
      <w:r>
        <w:rPr>
          <w:rFonts w:ascii="Arial" w:cs="Arial" w:eastAsia="Arial" w:hAnsi="Arial"/>
        </w:rPr>
        <w:t xml:space="preserve">2.1 Lab Selection Recommendation</w:t>
      </w:r>
    </w:p>
    <w:p>
      <w:pPr>
        <w:spacing w:after="160"/>
      </w:pPr>
      <w:r>
        <w:rPr>
          <w:rFonts w:ascii="Arial" w:cs="Arial" w:eastAsia="Arial" w:hAnsi="Arial"/>
          <w:b w:val="false"/>
          <w:bCs w:val="false"/>
          <w:i w:val="false"/>
          <w:iCs w:val="false"/>
          <w:color w:val="000000"/>
          <w:sz w:val="22"/>
          <w:szCs w:val="22"/>
        </w:rPr>
        <w:t xml:space="preserve">PRIMARY RECOMMENDATION: Normec OWS (Kettering, OH). Rationale: broadest capability (can run BPI + TÜV + DIN CERTCO simultaneously), US location for easy sample shipping, 25+ years of experience, handles complex multi-component products. Contact Maggie McDonald for a quote and test scheme proposal. Send: 20 production-representative samples + complete ingredient disclosure (all components with suppliers, weights, and existing cert numbers).</w:t>
      </w:r>
    </w:p>
    <w:p>
      <w:pPr>
        <w:spacing w:after="160"/>
      </w:pPr>
      <w:r>
        <w:rPr>
          <w:rFonts w:ascii="Arial" w:cs="Arial" w:eastAsia="Arial" w:hAnsi="Arial"/>
          <w:b w:val="false"/>
          <w:bCs w:val="false"/>
          <w:i w:val="false"/>
          <w:iCs w:val="false"/>
          <w:color w:val="000000"/>
          <w:sz w:val="22"/>
          <w:szCs w:val="22"/>
        </w:rPr>
        <w:t xml:space="preserve">BUDGET OPTION: Advanced Materials Center (Morris, IL) or RespirTek (Ocean Springs, MS) for BPI-only commercial certification at lower cost ($7,500–$12,000). Suitable if pursuing BPI Commercial first and deferring HOME + EU certs to Phase 2/3.</w:t>
      </w:r>
    </w:p>
    <w:p>
      <w:pPr>
        <w:spacing w:after="160"/>
      </w:pPr>
      <w:r>
        <w:rPr>
          <w:rFonts w:ascii="Arial" w:cs="Arial" w:eastAsia="Arial" w:hAnsi="Arial"/>
          <w:b w:val="false"/>
          <w:bCs w:val="false"/>
          <w:i w:val="false"/>
          <w:iCs w:val="false"/>
          <w:color w:val="000000"/>
          <w:sz w:val="22"/>
          <w:szCs w:val="22"/>
        </w:rPr>
        <w:t xml:space="preserve">ACADEMIC PARTNERSHIP: WIST (Wisconsin Institute for Sustainable Technology) can conduct both certification testing AND custom research (e.g., real-world composting simulation at a municipal facility near a marathon course). Consider for: validation data for B2B composting logistics guide, academic publication potential (credibility for the brand), and slightly lower cost than commercial labs.</w:t>
      </w:r>
    </w:p>
    <w:p>
      <w:r>
        <w:br w:type="page"/>
      </w:r>
    </w:p>
    <w:p>
      <w:pPr>
        <w:pStyle w:val="Heading1"/>
        <w:spacing w:before="360" w:after="200"/>
      </w:pPr>
      <w:r>
        <w:rPr>
          <w:rFonts w:ascii="Arial" w:cs="Arial" w:eastAsia="Arial" w:hAnsi="Arial"/>
        </w:rPr>
        <w:t xml:space="preserve">3. Component-by-Component Compostability Verification</w:t>
      </w:r>
    </w:p>
    <w:p>
      <w:pPr>
        <w:spacing w:after="160"/>
      </w:pPr>
      <w:r>
        <w:rPr>
          <w:rFonts w:ascii="Arial" w:cs="Arial" w:eastAsia="Arial" w:hAnsi="Arial"/>
          <w:b/>
          <w:bCs/>
          <w:i w:val="false"/>
          <w:iCs w:val="false"/>
          <w:color w:val="000000"/>
          <w:sz w:val="22"/>
          <w:szCs w:val="22"/>
        </w:rPr>
        <w:t xml:space="preserve">BPI requires disclosure of all ingredients used above 1% of product weight (increasing to 15% threshold in July 2026 for individual ingredient testing). </w:t>
      </w:r>
      <w:r>
        <w:rPr>
          <w:rFonts w:ascii="Arial" w:cs="Arial" w:eastAsia="Arial" w:hAnsi="Arial"/>
          <w:b w:val="false"/>
          <w:bCs w:val="false"/>
          <w:i w:val="false"/>
          <w:iCs w:val="false"/>
          <w:color w:val="000000"/>
          <w:sz w:val="22"/>
          <w:szCs w:val="22"/>
        </w:rPr>
        <w:t xml:space="preserve">The sum of untested ingredients cannot exceed 5% (decreasing to 3% in July 2026). Every component must be either: (A) already certified compostable with documentation, or (B) tested as part of the full-product certification. The following matrix maps the certification status of every component in the Config B poncho.</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600"/>
        <w:gridCol w:w="1400"/>
        <w:gridCol w:w="32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Supplier</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Existing Certifications</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Action Required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NatureFlex NM (metallized cellulose film)</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Futamura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BPI #C119399, TÜV OK Compost HOME, TÜV OK Compost INDUSTRIAL, EN 13432, DIN CERTCO</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VERIFIED — Component is fully certified under all major programs. Existing certs can be leveraged for full-product certification.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Request current Certificate of Compliance (CoC) from Futamura. Confirm cert number is active on bpiworld.org product database.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PLA spunbond nonwoven (35 gsm)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Ahlstrom BioSpun / China supplier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 resin (NatureWorks Ingeo) is BPI-certified; spunbond fabric may need independent verification depending on supplier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VERIFY — Confirm supplier holds or can provide compostability test data per ASTM D5338 (≥90% biodegradation in 180 days). If Ahlstrom: likely certified. If China supplier: request test report.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supplier cannot provide cert: submit sample to BPI-approved lab as part of full-product testing. Cost: included in full-product ASTM D6400 test. PLA spunbond at 35 gsm is thin enough that biodegradation should pass easily — PLA films and nonwovens routinely achieve &gt;90% in 90–120 days at 58°C.</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Natural rubber latex elastic (3mm cord)</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Various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Natural rubber is inherently biodegradable; no composting cert typically required as it is &lt;1% of product weight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ACCEPTABLE — Natural rubber degrades readily in composting conditions. BPI requires testing of components &gt;1% by weight; elastic is ~0.5–1.0g per poncho (0.4–1% of 100–120g total).</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elastic is &gt;1% of total weight: include in full-product test. If &lt;1%: document weight percentage and note that natural rubber is inherently biodegradable. Latex allergy labeling required on packaging per P2B Sec 2.1.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PLA cordlock toggle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Specialty compostable components supplier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 is certified compostable; toggle is 100% PLA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VERIFY — Confirm supplier provides compostability documentation for the specific PLA grade used in injection molding.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Toggle weight: ~1–2g (0.8–2% of total). If &gt;1%: include in test scheme. PLA injection-molded parts biodegrade slower than PLA films due to higher crystallinity and thickness. May need explicit test data.</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Compostable ink (flexographic)</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Sun Chemical SunUno Solimax AP / hubergroup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Sun Chemical: TÜV OK Compost certified. Hubergroup: tested per EN 13432.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VERIFIED — Use only certified compostable inks. Ink is typically &lt;1% of product weight.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Request ink TDS + composting certificate from ink supplier. Provide to BPI lab as part of full-product certification package. Document exact ink coverage area and estimated weight per poncho.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Ultrasonic bonding (no adhesive)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 — mechanical process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 — no material added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 — Ultrasonic welding fuses PLA to cellulose thermally; no foreign material introduced.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PREFERRED bonding method. Eliminates adhesive as a certification variable. If heat-seal adhesive is used instead: must be certified compostable (BASF EPOTAL CF 430, BPI-certified).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Aluminum metallization layer</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Applied to NatureFlex NM</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Included in NatureFlex NM certification. Al is &lt;0.02% of film weight.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VERIFIED — Aluminum oxidizes to Al₂O₃ (naturally occurring soil mineral) during composting. Not listed on EN 13432 or ASTM D6400 restricted heavy metals lists.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Common misconception: “Aluminum can’t be composted.” Factually incorrect at metallization thickness (&lt;50 nm). Always address proactively in marketing (P1C Sec 6.4 FAQ Q5) and race director presentations.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Compostable inner bag (PLA film)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Converter-supplied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 film is widely certified (BPI, EN 13432)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VERIFY — Confirm inner bag supplier provides composting cert.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Inner bag is a separate SKU from the poncho. It can be certified independently or included in the full-product test. Since it is discarded separately from the poncho (runner removes poncho from bag before wearing), it may not need to be tested AS PART OF the poncho — but it must be compostable on its own.</w:t>
            </w:r>
          </w:p>
        </w:tc>
      </w:tr>
    </w:tbl>
    <w:p>
      <w:pPr>
        <w:pStyle w:val="Heading2"/>
        <w:spacing w:before="280" w:after="160"/>
      </w:pPr>
      <w:r>
        <w:rPr>
          <w:rFonts w:ascii="Arial" w:cs="Arial" w:eastAsia="Arial" w:hAnsi="Arial"/>
        </w:rPr>
        <w:t xml:space="preserve">3.1 PFAS Compliance: BPI’s Fluorinated Chemicals Requirement</w:t>
      </w:r>
    </w:p>
    <w:p>
      <w:pPr>
        <w:spacing w:after="160"/>
      </w:pPr>
      <w:r>
        <w:rPr>
          <w:rFonts w:ascii="Arial" w:cs="Arial" w:eastAsia="Arial" w:hAnsi="Arial"/>
          <w:b/>
          <w:bCs/>
          <w:i w:val="false"/>
          <w:iCs w:val="false"/>
          <w:color w:val="2E7D32"/>
          <w:sz w:val="22"/>
          <w:szCs w:val="22"/>
        </w:rPr>
        <w:t xml:space="preserve">[GAP P2-01 CLOSED] </w:t>
      </w:r>
      <w:r>
        <w:rPr>
          <w:rFonts w:ascii="Arial" w:cs="Arial" w:eastAsia="Arial" w:hAnsi="Arial"/>
          <w:b w:val="false"/>
          <w:bCs w:val="false"/>
          <w:i w:val="false"/>
          <w:iCs w:val="false"/>
          <w:color w:val="000000"/>
          <w:sz w:val="22"/>
          <w:szCs w:val="22"/>
        </w:rPr>
        <w:t xml:space="preserve">This is a HARD CERTIFICATION GATE. Since January 1, 2020, BPI requires ALL certified products to meet three conditions regarding per- and polyfluorinated substances (PFAS). Failure to comply means automatic rejection of the BPI application — no exceptions, no waivers.</w:t>
      </w:r>
    </w:p>
    <w:p>
      <w:pPr>
        <w:spacing w:after="160"/>
      </w:pPr>
      <w:r>
        <w:rPr>
          <w:rFonts w:ascii="Arial" w:cs="Arial" w:eastAsia="Arial" w:hAnsi="Arial"/>
          <w:b/>
          <w:bCs/>
          <w:i w:val="false"/>
          <w:iCs w:val="false"/>
          <w:color w:val="000000"/>
          <w:sz w:val="22"/>
          <w:szCs w:val="22"/>
        </w:rPr>
        <w:t xml:space="preserve">CONDITION 1 — FORMULATION REVIEW: Safety Data Sheets (SDS) for ALL ingredients must demonstrate that the product formula does not contain fluorinated chemicals. Action: collect SDS from every supplier (Futamura for NatureFlex NM, PLA spunbond supplier, ink supplier, elastic supplier, cordlock supplier). Review each SDS Section 3 (Composition/Ingredients) for any fluorine-containing compounds. Flag: any chemical name containing “fluoro,” “perfluoro,” “polyfluoro,” “PTFE,” or “PFAS.” If found: that ingredient must be replaced with a PFAS-free alternative before certification can proceed.</w:t>
      </w:r>
    </w:p>
    <w:p>
      <w:pPr>
        <w:spacing w:after="160"/>
      </w:pPr>
      <w:r>
        <w:rPr>
          <w:rFonts w:ascii="Arial" w:cs="Arial" w:eastAsia="Arial" w:hAnsi="Arial"/>
          <w:b/>
          <w:bCs/>
          <w:i w:val="false"/>
          <w:iCs w:val="false"/>
          <w:color w:val="000000"/>
          <w:sz w:val="22"/>
          <w:szCs w:val="22"/>
        </w:rPr>
        <w:t xml:space="preserve">CONDITION 2 — TOTAL ORGANIC FLUORINE TESTING: The finished product must be tested at a BPI-approved laboratory and show a MAXIMUM of 100 ppm total organic fluorine (TOF). Test method: Combustion Ion Chromatography (CIC), also referenced as a modified EPA 537.1 or total fluorine analysis. The lab measures both Total Fluorine (TF) and Inorganic Fluorine (IF); TOF = TF − IF. Inorganic fluorine alone is NOT indicative of PFAS — only organic fluorine matters. Cost: $500–$1,500 per sample at a BPI-approved lab. Turnaround: 2–4 weeks. Submit: 3–5 finished product samples (assembled poncho, not raw materials) to the lab alongside the ASTM D6400 test package.</w:t>
      </w:r>
    </w:p>
    <w:p>
      <w:pPr>
        <w:spacing w:after="160"/>
      </w:pPr>
      <w:r>
        <w:rPr>
          <w:rFonts w:ascii="Arial" w:cs="Arial" w:eastAsia="Arial" w:hAnsi="Arial"/>
          <w:b/>
          <w:bCs/>
          <w:i w:val="false"/>
          <w:iCs w:val="false"/>
          <w:color w:val="000000"/>
          <w:sz w:val="22"/>
          <w:szCs w:val="22"/>
        </w:rPr>
        <w:t xml:space="preserve">CONDITION 3 — MANUFACTURER DECLARATION: A written statement signed by the product manufacturer (the converter who assembles the poncho) declaring: “No intentionally added fluorinated chemicals are present in the formulation of [Product Name/SKU].” This must be on the manufacturer’s letterhead, signed by an authorized representative, and dated. BPI provides a template declaration form — request from BPI during the certification application process or download from bpiworld.org/fluorinated-chemicals.</w:t>
      </w:r>
    </w:p>
    <w:p>
      <w:pPr>
        <w:pStyle w:val="Heading2"/>
        <w:spacing w:before="280" w:after="160"/>
      </w:pPr>
      <w:r>
        <w:rPr>
          <w:rFonts w:ascii="Arial" w:cs="Arial" w:eastAsia="Arial" w:hAnsi="Arial"/>
        </w:rPr>
        <w:t xml:space="preserve">3.2 PFAS Risk Assessment: Component-by-Component</w:t>
      </w:r>
    </w:p>
    <w:p>
      <w:pPr>
        <w:spacing w:after="160"/>
      </w:pPr>
      <w:r>
        <w:rPr>
          <w:rFonts w:ascii="Arial" w:cs="Arial" w:eastAsia="Arial" w:hAnsi="Arial"/>
          <w:b w:val="false"/>
          <w:bCs w:val="false"/>
          <w:i w:val="false"/>
          <w:iCs w:val="false"/>
          <w:color w:val="000000"/>
          <w:sz w:val="22"/>
          <w:szCs w:val="22"/>
        </w:rPr>
        <w:t xml:space="preserve">NatureFlex NM (metallized cellulose): LOW RISK. Futamura’s NatureFlex product line is already BPI-certified (#C119399), meaning it has already passed the PFAS requirement. Request Futamura’s current fluorine test report and PFAS declaration letter to include in the application package. This is the easiest component to clear.</w:t>
      </w:r>
    </w:p>
    <w:p>
      <w:pPr>
        <w:spacing w:after="160"/>
      </w:pPr>
      <w:r>
        <w:rPr>
          <w:rFonts w:ascii="Arial" w:cs="Arial" w:eastAsia="Arial" w:hAnsi="Arial"/>
          <w:b w:val="false"/>
          <w:bCs w:val="false"/>
          <w:i w:val="false"/>
          <w:iCs w:val="false"/>
          <w:color w:val="000000"/>
          <w:sz w:val="22"/>
          <w:szCs w:val="22"/>
        </w:rPr>
        <w:t xml:space="preserve">PLA spunbond nonwoven: LOW RISK. PLA is a plant-based polyester with no fluorine in its polymer structure. The spunbond manufacturing process (melt extrusion + fiber laying + thermal bonding) does not introduce fluorinated chemicals unless a DWR (durable water repellent) finish is applied. CRITICAL CHECK: confirm with the nonwoven supplier that NO fluorinated DWR or surface treatment is applied. Some nonwoven producers add DWR for water repellency — if present, it is almost certainly PFAS-based and must be removed from the spec. Require the supplier to provide: (A) SDS for the PLA spunbond confirming no fluorinated additives, and (B) a signed PFAS-free declaration.</w:t>
      </w:r>
    </w:p>
    <w:p>
      <w:pPr>
        <w:spacing w:after="160"/>
      </w:pPr>
      <w:r>
        <w:rPr>
          <w:rFonts w:ascii="Arial" w:cs="Arial" w:eastAsia="Arial" w:hAnsi="Arial"/>
          <w:b w:val="false"/>
          <w:bCs w:val="false"/>
          <w:i w:val="false"/>
          <w:iCs w:val="false"/>
          <w:color w:val="000000"/>
          <w:sz w:val="22"/>
          <w:szCs w:val="22"/>
        </w:rPr>
        <w:t xml:space="preserve">Compostable ink: MEDIUM RISK. Some flexographic ink formulations include fluorosurfactants for leveling and wetting properties. These are PFAS compounds. Action: require the ink supplier (Sun Chemical or hubergroup) to provide: (A) SDS for the specific ink formulation used, (B) a signed PFAS-free declaration, and (C) confirmation that the ink has been tested for total fluorine as part of a previous BPI certification (both Sun Chemical SunUno Solimax AP and hubergroup’s compostable series have been used in BPI-certified products, but confirm for the SPECIFIC color/formulation being used).</w:t>
      </w:r>
    </w:p>
    <w:p>
      <w:pPr>
        <w:spacing w:after="160"/>
      </w:pPr>
      <w:r>
        <w:rPr>
          <w:rFonts w:ascii="Arial" w:cs="Arial" w:eastAsia="Arial" w:hAnsi="Arial"/>
          <w:b w:val="false"/>
          <w:bCs w:val="false"/>
          <w:i w:val="false"/>
          <w:iCs w:val="false"/>
          <w:color w:val="000000"/>
          <w:sz w:val="22"/>
          <w:szCs w:val="22"/>
        </w:rPr>
        <w:t xml:space="preserve">Natural rubber latex elastic: LOW RISK. Natural rubber is not associated with PFAS. The vulcanization process uses sulfur and zinc oxide, not fluorinated compounds. Request SDS from the elastic supplier as standard documentation.</w:t>
      </w:r>
    </w:p>
    <w:p>
      <w:pPr>
        <w:spacing w:after="160"/>
      </w:pPr>
      <w:r>
        <w:rPr>
          <w:rFonts w:ascii="Arial" w:cs="Arial" w:eastAsia="Arial" w:hAnsi="Arial"/>
          <w:b w:val="false"/>
          <w:bCs w:val="false"/>
          <w:i w:val="false"/>
          <w:iCs w:val="false"/>
          <w:color w:val="000000"/>
          <w:sz w:val="22"/>
          <w:szCs w:val="22"/>
        </w:rPr>
        <w:t xml:space="preserve">PLA cordlock toggle: LOW RISK. Injection-molded PLA does not contain fluorinated additives. Request SDS from toggle supplier.</w:t>
      </w:r>
    </w:p>
    <w:p>
      <w:pPr>
        <w:spacing w:after="160"/>
      </w:pPr>
      <w:r>
        <w:rPr>
          <w:rFonts w:ascii="Arial" w:cs="Arial" w:eastAsia="Arial" w:hAnsi="Arial"/>
          <w:b w:val="false"/>
          <w:bCs w:val="false"/>
          <w:i w:val="false"/>
          <w:iCs w:val="false"/>
          <w:color w:val="000000"/>
          <w:sz w:val="22"/>
          <w:szCs w:val="22"/>
        </w:rPr>
        <w:t xml:space="preserve">Aluminum metallization: NO RISK. Vacuum-deposited aluminum is elemental metal (Al) with no fluorine content.</w:t>
      </w:r>
    </w:p>
    <w:p>
      <w:pPr>
        <w:pStyle w:val="Heading2"/>
        <w:spacing w:before="280" w:after="160"/>
      </w:pPr>
      <w:r>
        <w:rPr>
          <w:rFonts w:ascii="Arial" w:cs="Arial" w:eastAsia="Arial" w:hAnsi="Arial"/>
        </w:rPr>
        <w:t xml:space="preserve">3.3 PFAS Compliance Checklist</w:t>
      </w:r>
    </w:p>
    <w:p>
      <w:pPr>
        <w:spacing w:after="160"/>
      </w:pPr>
      <w:r>
        <w:rPr>
          <w:rFonts w:ascii="Arial" w:cs="Arial" w:eastAsia="Arial" w:hAnsi="Arial"/>
          <w:b/>
          <w:bCs/>
          <w:i w:val="false"/>
          <w:iCs w:val="false"/>
          <w:color w:val="000000"/>
          <w:sz w:val="22"/>
          <w:szCs w:val="22"/>
        </w:rPr>
        <w:t xml:space="preserve">☐ Step 1: Collect SDS from ALL 5 component suppliers (Futamura, PLA spunbond, ink, elastic, cordlock). Review Section 3 of each SDS for fluorinated chemicals. DEADLINE: Week 8 (submit with lab samples).</w:t>
      </w:r>
    </w:p>
    <w:p>
      <w:pPr>
        <w:spacing w:after="160"/>
      </w:pPr>
      <w:r>
        <w:rPr>
          <w:rFonts w:ascii="Arial" w:cs="Arial" w:eastAsia="Arial" w:hAnsi="Arial"/>
          <w:b/>
          <w:bCs/>
          <w:i w:val="false"/>
          <w:iCs w:val="false"/>
          <w:color w:val="000000"/>
          <w:sz w:val="22"/>
          <w:szCs w:val="22"/>
        </w:rPr>
        <w:t xml:space="preserve">☐ Step 2: Confirm with PLA spunbond supplier that NO fluorinated DWR or surface treatment is applied. Obtain written confirmation. DEADLINE: Week 8.</w:t>
      </w:r>
    </w:p>
    <w:p>
      <w:pPr>
        <w:spacing w:after="160"/>
      </w:pPr>
      <w:r>
        <w:rPr>
          <w:rFonts w:ascii="Arial" w:cs="Arial" w:eastAsia="Arial" w:hAnsi="Arial"/>
          <w:b/>
          <w:bCs/>
          <w:i w:val="false"/>
          <w:iCs w:val="false"/>
          <w:color w:val="000000"/>
          <w:sz w:val="22"/>
          <w:szCs w:val="22"/>
        </w:rPr>
        <w:t xml:space="preserve">☐ Step 3: Confirm ink supplier’s specific formulation is PFAS-free. Obtain SDS + signed declaration. DEADLINE: Week 8.</w:t>
      </w:r>
    </w:p>
    <w:p>
      <w:pPr>
        <w:spacing w:after="160"/>
      </w:pPr>
      <w:r>
        <w:rPr>
          <w:rFonts w:ascii="Arial" w:cs="Arial" w:eastAsia="Arial" w:hAnsi="Arial"/>
          <w:b/>
          <w:bCs/>
          <w:i w:val="false"/>
          <w:iCs w:val="false"/>
          <w:color w:val="000000"/>
          <w:sz w:val="22"/>
          <w:szCs w:val="22"/>
        </w:rPr>
        <w:t xml:space="preserve">☐ Step 4: Obtain Futamura’s existing PFAS test report and declaration letter for NatureFlex NM. DEADLINE: Week 8 (request immediately; Futamura provides this routinely to BPI applicants).</w:t>
      </w:r>
    </w:p>
    <w:p>
      <w:pPr>
        <w:spacing w:after="160"/>
      </w:pPr>
      <w:r>
        <w:rPr>
          <w:rFonts w:ascii="Arial" w:cs="Arial" w:eastAsia="Arial" w:hAnsi="Arial"/>
          <w:b/>
          <w:bCs/>
          <w:i w:val="false"/>
          <w:iCs w:val="false"/>
          <w:color w:val="000000"/>
          <w:sz w:val="22"/>
          <w:szCs w:val="22"/>
        </w:rPr>
        <w:t xml:space="preserve">☐ Step 5: Submit 3–5 assembled poncho samples to BPI-approved lab for total organic fluorine (TOF) testing via CIC method. Budget: $500–$1,500. DEADLINE: Week 10 (alongside ASTM D6400 samples).</w:t>
      </w:r>
    </w:p>
    <w:p>
      <w:pPr>
        <w:spacing w:after="160"/>
      </w:pPr>
      <w:r>
        <w:rPr>
          <w:rFonts w:ascii="Arial" w:cs="Arial" w:eastAsia="Arial" w:hAnsi="Arial"/>
          <w:b/>
          <w:bCs/>
          <w:i w:val="false"/>
          <w:iCs w:val="false"/>
          <w:color w:val="000000"/>
          <w:sz w:val="22"/>
          <w:szCs w:val="22"/>
        </w:rPr>
        <w:t xml:space="preserve">☐ Step 6: Obtain signed manufacturer declaration from the converter (Parkside, ProAmpac, or China converter): “No intentionally added fluorinated chemicals.” Use BPI template. DEADLINE: Week 10.</w:t>
      </w:r>
    </w:p>
    <w:p>
      <w:pPr>
        <w:spacing w:after="160"/>
      </w:pPr>
      <w:r>
        <w:rPr>
          <w:rFonts w:ascii="Arial" w:cs="Arial" w:eastAsia="Arial" w:hAnsi="Arial"/>
          <w:b/>
          <w:bCs/>
          <w:i w:val="false"/>
          <w:iCs w:val="false"/>
          <w:color w:val="000000"/>
          <w:sz w:val="22"/>
          <w:szCs w:val="22"/>
        </w:rPr>
        <w:t xml:space="preserve">☐ Step 7: Compile PFAS compliance package: (A) all 5 supplier SDS documents, (B) TOF lab test report (&lt;100 ppm), (C) manufacturer declaration, (D) Futamura’s existing PFAS documentation. Submit to BPI as part of the certification application. DEADLINE: Week 12.</w:t>
      </w:r>
    </w:p>
    <w:p>
      <w:pPr>
        <w:pStyle w:val="Heading2"/>
        <w:spacing w:before="280" w:after="160"/>
      </w:pPr>
      <w:r>
        <w:rPr>
          <w:rFonts w:ascii="Arial" w:cs="Arial" w:eastAsia="Arial" w:hAnsi="Arial"/>
        </w:rPr>
        <w:t xml:space="preserve">3.4 What If Total Fluorine Exceeds 100 ppm?</w:t>
      </w:r>
    </w:p>
    <w:p>
      <w:pPr>
        <w:spacing w:after="160"/>
      </w:pPr>
      <w:r>
        <w:rPr>
          <w:rFonts w:ascii="Arial" w:cs="Arial" w:eastAsia="Arial" w:hAnsi="Arial"/>
          <w:b w:val="false"/>
          <w:bCs w:val="false"/>
          <w:i w:val="false"/>
          <w:iCs w:val="false"/>
          <w:color w:val="000000"/>
          <w:sz w:val="22"/>
          <w:szCs w:val="22"/>
        </w:rPr>
        <w:t xml:space="preserve">If the finished product tests above 100 ppm TOF: (1) Identify the contamination source — test each component individually ($500–$1,000 per component). The most likely source is the ink or an undisclosed surface treatment on the nonwoven. (2) Replace the contaminated component with a verified PFAS-free alternative. (3) Re-test the assembled product. (4) This adds 4–8 weeks to the certification timeline and $1,000–$3,000 in additional lab costs. PREVENTION: the supplier SDS review in Steps 1–3 catches PFAS issues BEFORE lab testing, saving time and money. Do not skip the SDS review.</w:t>
      </w:r>
    </w:p>
    <w:p>
      <w:pPr>
        <w:spacing w:after="160"/>
      </w:pPr>
      <w:r>
        <w:rPr>
          <w:rFonts w:ascii="Arial" w:cs="Arial" w:eastAsia="Arial" w:hAnsi="Arial"/>
          <w:b w:val="false"/>
          <w:bCs w:val="false"/>
          <w:i w:val="false"/>
          <w:iCs w:val="false"/>
          <w:color w:val="000000"/>
          <w:sz w:val="22"/>
          <w:szCs w:val="22"/>
        </w:rPr>
        <w:t xml:space="preserve">ONGOING COMPLIANCE: BPI requires fluorine testing to have been conducted within the past 12 months for all certifications and recertifications. Budget for annual re-testing ($500–$1,500/year). If any supplier changes their formulation (new ink color, new PLA grade, new nonwoven treatment), re-test the finished product before the next production run. Note that BPI’s July 2026 update tightens ingredient testing thresholds: individual ingredients used at 1–15% must be tested independently (up from 1–10%). Plan for this expanded testing scope.</w:t>
      </w:r>
    </w:p>
    <w:p>
      <w:r>
        <w:br w:type="page"/>
      </w:r>
    </w:p>
    <w:p>
      <w:pPr>
        <w:pStyle w:val="Heading1"/>
        <w:spacing w:before="360" w:after="200"/>
      </w:pPr>
      <w:r>
        <w:rPr>
          <w:rFonts w:ascii="Arial" w:cs="Arial" w:eastAsia="Arial" w:hAnsi="Arial"/>
        </w:rPr>
        <w:t xml:space="preserve">4. Decomposition Timelines: Honest Science</w:t>
      </w:r>
    </w:p>
    <w:p>
      <w:pPr>
        <w:spacing w:after="160"/>
      </w:pPr>
      <w:r>
        <w:rPr>
          <w:rFonts w:ascii="Arial" w:cs="Arial" w:eastAsia="Arial" w:hAnsi="Arial"/>
          <w:b/>
          <w:bCs/>
          <w:i w:val="false"/>
          <w:iCs w:val="false"/>
          <w:color w:val="000000"/>
          <w:sz w:val="22"/>
          <w:szCs w:val="22"/>
        </w:rPr>
        <w:t xml:space="preserve">This section documents what we KNOW and what we DON’T KNOW about how fast the poncho decomposes. </w:t>
      </w:r>
      <w:r>
        <w:rPr>
          <w:rFonts w:ascii="Arial" w:cs="Arial" w:eastAsia="Arial" w:hAnsi="Arial"/>
          <w:b w:val="false"/>
          <w:bCs w:val="false"/>
          <w:i w:val="false"/>
          <w:iCs w:val="false"/>
          <w:color w:val="000000"/>
          <w:sz w:val="22"/>
          <w:szCs w:val="22"/>
        </w:rPr>
        <w:t xml:space="preserve">Honest documentation prevents greenwashing claims and prepares the brand for the inevitable journalist or skeptic who asks: “Prove it composts in 90 days.” The answer must be: “Here is the lab data,” not “We believe it does.”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24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Product Config</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Environment</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Expected Timeline</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Regulatory Benchmark</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Config B assembled poncho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Industrial composting (58± 2°C, 50–65% moisture, forced aeration)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Cellulose film: 90%+ biodegradation in 45–60 days. PLA spunbond: 90%+ in 90–120 days. Full product: expect 90%+ in 90–140 days (PLA layer is rate-limiting).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ASTM D6400 allows 180 days for 90% biodegradation. Product should pass comfortably within 120–140 days based on component data.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Config B assembled poncho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Home composting (20–30°C, ambient humidity, turned weekly)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Cellulose film: 90%+ in 90–180 days. PLA spunbond: 90%+ in 6–12 months (PLA degrades slowly at ambient temp — requires hydrolysis before microbial attack). Full product: 6–12 months.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NF T 51-800 allows 12 months for 90% biodegradation. Cellulose layer will pass easily. PLA layer is the risk — may need 9–12 months. Adding PHB (polyhydroxybutyrate) to PLA spunbond would accelerate home composting.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Config B assembled poncho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Soil burial (ambient temp, buried 15 cm depth)</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Very slow. PLA is stable in soil at ambient temperature — only 1% degradation after 100 years in landfill conditions. Cellulose degrades in 2–6 months in soil.</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 NOT claim “biodegradable in soil” or “biodegradable in landfill.” Claims are limited to “compostable in industrial composting facilities” (BPI) or “home compostable” (if TÜV HOME / BPI HOME certified).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Config B assembled poncho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Marine environment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Cellulose degrades in weeks to months. PLA is extremely slow in marine conditions (cold water, limited microbial diversity). Metallized aluminum layer is inert in seawater.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 NOT claim marine biodegradable. NatureFlex NM has separate marine biodegradation certification — but the PLA spunbond does NOT. Full product cannot claim marine biodegradability.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Config C (ENVIROMET + PLA spunbond)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Industrial composting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Similar to Config B. BOPLA metallized film may biodegrade slightly slower than cellulose (90–120 days vs 45–60 days) but still within ASTM D6400 180-day window.</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pursuing Config C as backup: budget for a SEPARATE certification test ($7,500–$15,000). Cannot extrapolate Config B cert to Config C — different film substrate.</w:t>
            </w:r>
          </w:p>
        </w:tc>
      </w:tr>
    </w:tbl>
    <w:p>
      <w:pPr>
        <w:spacing w:before="200"/>
      </w:pPr>
    </w:p>
    <w:p>
      <w:pPr>
        <w:pStyle w:val="Heading2"/>
        <w:spacing w:before="280" w:after="160"/>
      </w:pPr>
      <w:r>
        <w:rPr>
          <w:rFonts w:ascii="Arial" w:cs="Arial" w:eastAsia="Arial" w:hAnsi="Arial"/>
        </w:rPr>
        <w:t xml:space="preserve">4.1 The PLA Challenge: Why Home Composting Is Harder</w:t>
      </w:r>
    </w:p>
    <w:p>
      <w:pPr>
        <w:spacing w:after="160"/>
      </w:pPr>
      <w:r>
        <w:rPr>
          <w:rFonts w:ascii="Arial" w:cs="Arial" w:eastAsia="Arial" w:hAnsi="Arial"/>
          <w:b w:val="false"/>
          <w:bCs w:val="false"/>
          <w:i w:val="false"/>
          <w:iCs w:val="false"/>
          <w:color w:val="000000"/>
          <w:sz w:val="22"/>
          <w:szCs w:val="22"/>
        </w:rPr>
        <w:t xml:space="preserve">PLA biodegradation is fundamentally a two-step process: (1) HYDROLYSIS — water molecules break PLA polymer chains into smaller oligomers and lactic acid monomers. This step is temperature-dependent. At 58°C (industrial composting), hydrolysis is rapid (days to weeks). At 20–30°C (home composting), hydrolysis is extremely slow (months). (2) MICROBIAL ASSIMILATION — once oligomers are small enough, soil microorganisms consume them, producing CO₂ and water. This step requires the products of Step 1 and is therefore limited by the hydrolysis rate.</w:t>
      </w:r>
    </w:p>
    <w:p>
      <w:pPr>
        <w:spacing w:after="160"/>
      </w:pPr>
      <w:r>
        <w:rPr>
          <w:rFonts w:ascii="Arial" w:cs="Arial" w:eastAsia="Arial" w:hAnsi="Arial"/>
          <w:b w:val="false"/>
          <w:bCs w:val="false"/>
          <w:i w:val="false"/>
          <w:iCs w:val="false"/>
          <w:color w:val="000000"/>
          <w:sz w:val="22"/>
          <w:szCs w:val="22"/>
        </w:rPr>
        <w:t xml:space="preserve">This is why PLA degrades &gt;90% in 90–120 days under industrial composting but may take 6–12 months under home composting. The cellulose layer (NatureFlex NM) does NOT have this limitation — cellulose is directly biodegradable by soil microorganisms at any temperature. For the full poncho, the PLA spunbond layer is the rate-limiting component for home compostability certification.</w:t>
      </w:r>
    </w:p>
    <w:p>
      <w:pPr>
        <w:pStyle w:val="Heading2"/>
        <w:spacing w:before="280" w:after="160"/>
      </w:pPr>
      <w:r>
        <w:rPr>
          <w:rFonts w:ascii="Arial" w:cs="Arial" w:eastAsia="Arial" w:hAnsi="Arial"/>
        </w:rPr>
        <w:t xml:space="preserve">4.2 Strategies to Accelerate Home Composting</w:t>
      </w:r>
    </w:p>
    <w:p>
      <w:pPr>
        <w:spacing w:after="160"/>
      </w:pPr>
      <w:r>
        <w:rPr>
          <w:rFonts w:ascii="Arial" w:cs="Arial" w:eastAsia="Arial" w:hAnsi="Arial"/>
          <w:b w:val="false"/>
          <w:bCs w:val="false"/>
          <w:i w:val="false"/>
          <w:iCs w:val="false"/>
          <w:color w:val="000000"/>
          <w:sz w:val="22"/>
          <w:szCs w:val="22"/>
        </w:rPr>
        <w:t xml:space="preserve">Option 1: PLA/PHB blend for spunbond layer. PHB (polyhydroxybutyrate) biodegrades significantly faster than PLA at ambient temperature. PLA/PHB blends (70:30 ratio) achieve 100% mineralization in 90 days at 58°C with no lag phase, and degrade meaningfully faster at ambient temperatures. Taghleef NATIVIA Plus uses PHA-modified PLA for home-compostable films. Cost premium: 15–25% over standard PLA spunbond.</w:t>
      </w:r>
    </w:p>
    <w:p>
      <w:pPr>
        <w:spacing w:after="160"/>
      </w:pPr>
      <w:r>
        <w:rPr>
          <w:rFonts w:ascii="Arial" w:cs="Arial" w:eastAsia="Arial" w:hAnsi="Arial"/>
          <w:b w:val="false"/>
          <w:bCs w:val="false"/>
          <w:i w:val="false"/>
          <w:iCs w:val="false"/>
          <w:color w:val="000000"/>
          <w:sz w:val="22"/>
          <w:szCs w:val="22"/>
        </w:rPr>
        <w:t xml:space="preserve">Option 2: Thinner PLA spunbond. Reduce from 35 gsm to 25 gsm. Thinner material = faster hydrolysis = faster biodegradation. Trade-off: reduced durability (may fail P2C tear-away and wind-resistance tests at 25 gsm). Option 3: Pre-scoring / micro-perforation of spunbond layer. Laser micro-perforations increase surface area for water ingress, accelerating hydrolysis. May conflict with tear-away perforation engineering (P2B Section 3). Option 4: Accept industrial-only composting for V1. Market honestly as “industrially compostable (BPI certified)” and pursue home composting certification for V2 with PLA/PHB blend spunbond.</w:t>
      </w:r>
    </w:p>
    <w:p>
      <w:pPr>
        <w:pStyle w:val="Heading2"/>
        <w:spacing w:before="280" w:after="160"/>
      </w:pPr>
      <w:r>
        <w:rPr>
          <w:rFonts w:ascii="Arial" w:cs="Arial" w:eastAsia="Arial" w:hAnsi="Arial"/>
        </w:rPr>
        <w:t xml:space="preserve">4.3 Ecotoxicity Testing: ASTM D6400 Requirement</w:t>
      </w:r>
    </w:p>
    <w:p>
      <w:pPr>
        <w:spacing w:after="160"/>
      </w:pPr>
      <w:r>
        <w:rPr>
          <w:rFonts w:ascii="Arial" w:cs="Arial" w:eastAsia="Arial" w:hAnsi="Arial"/>
          <w:b/>
          <w:bCs/>
          <w:i w:val="false"/>
          <w:iCs w:val="false"/>
          <w:color w:val="2E7D32"/>
          <w:sz w:val="22"/>
          <w:szCs w:val="22"/>
        </w:rPr>
        <w:t xml:space="preserve">[GAP P2-13 CLOSED] </w:t>
      </w:r>
      <w:r>
        <w:rPr>
          <w:rFonts w:ascii="Arial" w:cs="Arial" w:eastAsia="Arial" w:hAnsi="Arial"/>
          <w:b w:val="false"/>
          <w:bCs w:val="false"/>
          <w:i w:val="false"/>
          <w:iCs w:val="false"/>
          <w:color w:val="000000"/>
          <w:sz w:val="22"/>
          <w:szCs w:val="22"/>
        </w:rPr>
        <w:t xml:space="preserve">Ecotoxicity is one of 4 required test components under ASTM D6400 (alongside biodegradation, disintegration, and heavy metals/regulated substances). It verifies that the compost produced from the poncho is safe for agricultural use and does not harm plant growth. Without understanding this test, the founder cannot accurately evaluate lab quotes, timelines, or results.</w:t>
      </w:r>
    </w:p>
    <w:p>
      <w:pPr>
        <w:spacing w:after="160"/>
      </w:pPr>
      <w:r>
        <w:rPr>
          <w:rFonts w:ascii="Arial" w:cs="Arial" w:eastAsia="Arial" w:hAnsi="Arial"/>
          <w:b w:val="false"/>
          <w:bCs w:val="false"/>
          <w:i w:val="false"/>
          <w:iCs w:val="false"/>
          <w:color w:val="000000"/>
          <w:sz w:val="22"/>
          <w:szCs w:val="22"/>
        </w:rPr>
        <w:t xml:space="preserve">TEST STANDARD: OECD Guideline 208 (Terrestrial Plant Test: Seedling Emergence and Seedling Growth Test), referenced by ASTM D6400 Section 6.4. The lab produces compost by composting the poncho samples under ASTM D6400 conditions (58°C, 180 days). The resulting compost is then used as a growth medium for plants. Two plant species are tested (typically selected from OECD 208 list): a dicotyledon (e.g., tomato, Lycopersicon esculentum, or garden cress, Lepidium sativum) and a monocotyledon (e.g., barley, Hordeum vulgare, or ryegrass, Lolium perenne). The lab selects species based on availability and precedent.</w:t>
      </w:r>
    </w:p>
    <w:p>
      <w:pPr>
        <w:spacing w:after="160"/>
      </w:pPr>
      <w:r>
        <w:rPr>
          <w:rFonts w:ascii="Arial" w:cs="Arial" w:eastAsia="Arial" w:hAnsi="Arial"/>
          <w:b w:val="false"/>
          <w:bCs w:val="false"/>
          <w:i w:val="false"/>
          <w:iCs w:val="false"/>
          <w:color w:val="000000"/>
          <w:sz w:val="22"/>
          <w:szCs w:val="22"/>
        </w:rPr>
        <w:t xml:space="preserve">PROCEDURE: (1) Prepare compost from poncho samples using the ASTM D6400 composting protocol (the same composting run used for biodegradation testing — no additional composting needed). (2) Prepare CONTROL compost from the same feedstock without poncho samples. (3) Plant seeds of both species in: 100% test compost, 50:50 test compost + control compost, and 100% control compost. (4) Grow for 14–21 days under controlled light/temperature conditions. (5) Measure: germination rate (% of seeds that sprout) and plant biomass (dry weight at harvest).</w:t>
      </w:r>
    </w:p>
    <w:p>
      <w:pPr>
        <w:spacing w:after="160"/>
      </w:pPr>
      <w:r>
        <w:rPr>
          <w:rFonts w:ascii="Arial" w:cs="Arial" w:eastAsia="Arial" w:hAnsi="Arial"/>
          <w:b w:val="false"/>
          <w:bCs w:val="false"/>
          <w:i w:val="false"/>
          <w:iCs w:val="false"/>
          <w:color w:val="000000"/>
          <w:sz w:val="22"/>
          <w:szCs w:val="22"/>
        </w:rPr>
        <w:t xml:space="preserve">PASS CRITERIA: Germination rate in test compost must be ≥90% of germination rate in control compost. Plant biomass in test compost must be ≥90% of biomass in control compost. Both conditions must be met for BOTH plant species. If either species fails: the compost contains something toxic to plants — investigate which component is the source (most likely: residual ink pigments or metallization residues). ASTM D6400 does not permit a retest without reformulation.</w:t>
      </w:r>
    </w:p>
    <w:p>
      <w:pPr>
        <w:spacing w:after="160"/>
      </w:pPr>
      <w:r>
        <w:rPr>
          <w:rFonts w:ascii="Arial" w:cs="Arial" w:eastAsia="Arial" w:hAnsi="Arial"/>
          <w:b w:val="false"/>
          <w:bCs w:val="false"/>
          <w:i w:val="false"/>
          <w:iCs w:val="false"/>
          <w:color w:val="000000"/>
          <w:sz w:val="22"/>
          <w:szCs w:val="22"/>
        </w:rPr>
        <w:t xml:space="preserve">TIMELINE: Ecotoxicity testing is the FASTEST component of ASTM D6400. The composting phase (3–6 months for biodegradation + disintegration) must complete first, because ecotoxicity tests use the RESULTING compost. Once compost is available: plant growth test takes 14–21 days, plus 1–2 weeks for data analysis and reporting. Total ecotoxicity-specific time: 3–5 weeks after composting phase completes. It does NOT add to the overall ASTM D6400 timeline because it runs at the end of the composting period that is already underway.</w:t>
      </w:r>
    </w:p>
    <w:p>
      <w:pPr>
        <w:spacing w:after="160"/>
      </w:pPr>
      <w:r>
        <w:rPr>
          <w:rFonts w:ascii="Arial" w:cs="Arial" w:eastAsia="Arial" w:hAnsi="Arial"/>
          <w:b w:val="false"/>
          <w:bCs w:val="false"/>
          <w:i w:val="false"/>
          <w:iCs w:val="false"/>
          <w:color w:val="000000"/>
          <w:sz w:val="22"/>
          <w:szCs w:val="22"/>
        </w:rPr>
        <w:t xml:space="preserve">COST: Typically included in the full ASTM D6400 lab package ($7,500–$25,000 total). Ecotoxicity is NOT usually billed separately. When requesting quotes from BPI-approved labs (P2D Section 2), confirm that the quoted price includes OECD 208 ecotoxicity testing. If billed separately: expect $1,000–$3,000.</w:t>
      </w:r>
    </w:p>
    <w:p>
      <w:pPr>
        <w:spacing w:after="160"/>
      </w:pPr>
      <w:r>
        <w:rPr>
          <w:rFonts w:ascii="Arial" w:cs="Arial" w:eastAsia="Arial" w:hAnsi="Arial"/>
          <w:b w:val="false"/>
          <w:bCs w:val="false"/>
          <w:i w:val="false"/>
          <w:iCs w:val="false"/>
          <w:color w:val="000000"/>
          <w:sz w:val="22"/>
          <w:szCs w:val="22"/>
        </w:rPr>
        <w:t xml:space="preserve">RISK ASSESSMENT FOR OUR PRODUCT: LOW. Regenerated cellulose (NatureFlex NM) produces no toxic residues when composted — Futamura’s existing BPI certification (#C119399) already passed ecotoxicity. PLA biodegrades to lactic acid and ultimately CO₂ + H₂O — lactic acid is a naturally occurring soil compound and is not phytotoxic at composting concentrations. Aluminum metallization (&lt;0.02% of product weight) oxidizes to aluminum oxide (Al₂O₃), a naturally abundant soil mineral. Natural rubber latex biodegrades to non-toxic organic compounds. The ONLY ecotoxicity risk comes from the compostable ink — some pigments (particularly metal-based pigments in colored inks) can be phytotoxic at high concentrations. Mitigation: use only inks with documented composting safety data (Sun Chemical SunUno Solimax AP has been used in BPI-certified products). If using a new color formulation: request the ink supplier’s ecotoxicity data before adding to the poncho spec.</w:t>
      </w:r>
    </w:p>
    <w:p>
      <w:r>
        <w:br w:type="page"/>
      </w:r>
    </w:p>
    <w:p>
      <w:pPr>
        <w:pStyle w:val="Heading1"/>
        <w:spacing w:before="360" w:after="200"/>
      </w:pPr>
      <w:r>
        <w:rPr>
          <w:rFonts w:ascii="Arial" w:cs="Arial" w:eastAsia="Arial" w:hAnsi="Arial"/>
        </w:rPr>
        <w:t xml:space="preserve">5. Shelf Life Testing Protocol</w:t>
      </w:r>
    </w:p>
    <w:p>
      <w:pPr>
        <w:spacing w:after="160"/>
      </w:pPr>
      <w:r>
        <w:rPr>
          <w:rFonts w:ascii="Arial" w:cs="Arial" w:eastAsia="Arial" w:hAnsi="Arial"/>
          <w:b/>
          <w:bCs/>
          <w:i w:val="false"/>
          <w:iCs w:val="false"/>
          <w:color w:val="000000"/>
          <w:sz w:val="22"/>
          <w:szCs w:val="22"/>
        </w:rPr>
        <w:t xml:space="preserve">SHELF LIFE IS THE #1 OPERATIONAL RISK for compostable products. </w:t>
      </w:r>
      <w:r>
        <w:rPr>
          <w:rFonts w:ascii="Arial" w:cs="Arial" w:eastAsia="Arial" w:hAnsi="Arial"/>
          <w:b w:val="false"/>
          <w:bCs w:val="false"/>
          <w:i w:val="false"/>
          <w:iCs w:val="false"/>
          <w:color w:val="000000"/>
          <w:sz w:val="22"/>
          <w:szCs w:val="22"/>
        </w:rPr>
        <w:t xml:space="preserve">The product is designed to decompose — which means it CAN decompose during storage if conditions are poor. PLA hydrolysis rate approximately doubles for every 10°C increase in temperature. A summer warehouse at 35°C accelerates degradation 4× compared to 20°C climate-controlled storage. This section establishes the testing protocol to determine the product’s true shelf life.</w:t>
      </w:r>
    </w:p>
    <w:p>
      <w:pPr>
        <w:pStyle w:val="Heading2"/>
        <w:spacing w:before="280" w:after="160"/>
      </w:pPr>
      <w:r>
        <w:rPr>
          <w:rFonts w:ascii="Arial" w:cs="Arial" w:eastAsia="Arial" w:hAnsi="Arial"/>
        </w:rPr>
        <w:t xml:space="preserve">5.1 Storage Conditions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28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Temperature / Humidity</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Equipment</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Simulates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Condition A: Climate-controlled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20°C ± 2°C, 40% RH ± 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Lab incubator or climate-controlled storage room</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Best-case scenario. Simulates professional warehouse with HVAC.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Condition B: Standard warehouse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25°C ± 5°C, 50–60% RH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Indoor storage without dedicated climate control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Realistic for most 3PL warehouses and Amazon FBA fulfillment centers. Temperature may spike to 30–35°C in summer.</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Condition C: Accelerated aging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40°C ± 2°C, 75% RH ± 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Environmental chamber or DIY oven + humidity tray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Arrhenius approximation: 3 months at 40°C/75% RH ≈ 12 months at 20°C/40% RH. Provides rapid go/no-go signal.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Condition D: UV exposure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25°C, 50% RH, continuous fluorescent light exposure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Window sill or UV lamp chamber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Tests UV-induced yellowing and brittleness. Relevant if product is displayed in retail (Fleet Feet stores) under fluorescent lighting.</w:t>
            </w:r>
          </w:p>
        </w:tc>
      </w:tr>
    </w:tbl>
    <w:p>
      <w:pPr>
        <w:spacing w:before="200"/>
      </w:pPr>
    </w:p>
    <w:p>
      <w:pPr>
        <w:pStyle w:val="Heading2"/>
        <w:spacing w:before="280" w:after="160"/>
      </w:pPr>
      <w:r>
        <w:rPr>
          <w:rFonts w:ascii="Arial" w:cs="Arial" w:eastAsia="Arial" w:hAnsi="Arial"/>
        </w:rPr>
        <w:t xml:space="preserve">5.2 Test Schedule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000"/>
        <w:gridCol w:w="26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Timepoint</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Sample Size</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Tests Performed</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Decision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Baseline (Month 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 units per condition (20 total)</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IR reflectivity (FLIR), tensile strength (pull test), tear resistance, visual appearance (photograph), metallization adhesion (tape test), weight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Establish reference values for all metrics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Month 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 units from Condition C only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 baseline tests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Accelerated aging 3-month checkpoint = ~12-month real-world equivalent. If fails: product has &lt;12-month shelf life — CRITICAL issue.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Month 6</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 units from Conditions A + B</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All baseline tests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Real-time 6-month check. Compare A vs B to quantify warehouse temperature impact.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Month 12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 units from Conditions A + B</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 baseline tests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12-month real-time validation. If Condition A passes: minimum 12-month shelf life confirmed. If Condition B fails: must specify climate-controlled storage.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Month 18</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 units from Condition A only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All baseline tests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Extended shelf life test. If passes: product can be stocked year-round with 18-month inventory window. If fails: must produce within 12 months of use — seasonal production only.</w:t>
            </w:r>
          </w:p>
        </w:tc>
      </w:tr>
    </w:tbl>
    <w:p>
      <w:pPr>
        <w:spacing w:before="200"/>
      </w:pPr>
    </w:p>
    <w:p>
      <w:pPr>
        <w:pStyle w:val="Heading2"/>
        <w:spacing w:before="280" w:after="160"/>
      </w:pPr>
      <w:r>
        <w:rPr>
          <w:rFonts w:ascii="Arial" w:cs="Arial" w:eastAsia="Arial" w:hAnsi="Arial"/>
        </w:rPr>
        <w:t xml:space="preserve">5.3 Shelf Life Metrics: Pass/Fail Criteria</w:t>
      </w:r>
    </w:p>
    <w:p>
      <w:pPr>
        <w:spacing w:after="160"/>
      </w:pPr>
      <w:r>
        <w:rPr>
          <w:rFonts w:ascii="Arial" w:cs="Arial" w:eastAsia="Arial" w:hAnsi="Arial"/>
          <w:b w:val="false"/>
          <w:bCs w:val="false"/>
          <w:i w:val="false"/>
          <w:iCs w:val="false"/>
          <w:color w:val="000000"/>
          <w:sz w:val="22"/>
          <w:szCs w:val="22"/>
        </w:rPr>
        <w:t xml:space="preserve">IR REFLECTIVITY: Must retain ≥90% of baseline reflectivity (measured via FLIR camera comparing aged sample to fresh sample under identical conditions). If &lt;90%: metallization is degrading — warmth performance compromised.</w:t>
      </w:r>
    </w:p>
    <w:p>
      <w:pPr>
        <w:spacing w:after="160"/>
      </w:pPr>
      <w:r>
        <w:rPr>
          <w:rFonts w:ascii="Arial" w:cs="Arial" w:eastAsia="Arial" w:hAnsi="Arial"/>
          <w:b w:val="false"/>
          <w:bCs w:val="false"/>
          <w:i w:val="false"/>
          <w:iCs w:val="false"/>
          <w:color w:val="000000"/>
          <w:sz w:val="22"/>
          <w:szCs w:val="22"/>
        </w:rPr>
        <w:t xml:space="preserve">TENSILE STRENGTH: Must retain ≥80% of baseline (measured via pull test). If &lt;80%: material is becoming brittle — risk of tearing during normal use.</w:t>
      </w:r>
    </w:p>
    <w:p>
      <w:pPr>
        <w:spacing w:after="160"/>
      </w:pPr>
      <w:r>
        <w:rPr>
          <w:rFonts w:ascii="Arial" w:cs="Arial" w:eastAsia="Arial" w:hAnsi="Arial"/>
          <w:b w:val="false"/>
          <w:bCs w:val="false"/>
          <w:i w:val="false"/>
          <w:iCs w:val="false"/>
          <w:color w:val="000000"/>
          <w:sz w:val="22"/>
          <w:szCs w:val="22"/>
        </w:rPr>
        <w:t xml:space="preserve">TEAR RESISTANCE: Must retain ≥80% of baseline (measured via Elmendorf or tongue-tear test). If &lt;80%: poncho may tear in wind before intended tear-away.</w:t>
      </w:r>
    </w:p>
    <w:p>
      <w:pPr>
        <w:spacing w:after="160"/>
      </w:pPr>
      <w:r>
        <w:rPr>
          <w:rFonts w:ascii="Arial" w:cs="Arial" w:eastAsia="Arial" w:hAnsi="Arial"/>
          <w:b w:val="false"/>
          <w:bCs w:val="false"/>
          <w:i w:val="false"/>
          <w:iCs w:val="false"/>
          <w:color w:val="000000"/>
          <w:sz w:val="22"/>
          <w:szCs w:val="22"/>
        </w:rPr>
        <w:t xml:space="preserve">VISUAL APPEARANCE: No visible yellowing, clouding, or metallization delamination. Photograph under standardized lighting and compare to baseline reference photo.</w:t>
      </w:r>
    </w:p>
    <w:p>
      <w:pPr>
        <w:spacing w:after="160"/>
      </w:pPr>
      <w:r>
        <w:rPr>
          <w:rFonts w:ascii="Arial" w:cs="Arial" w:eastAsia="Arial" w:hAnsi="Arial"/>
          <w:b w:val="false"/>
          <w:bCs w:val="false"/>
          <w:i w:val="false"/>
          <w:iCs w:val="false"/>
          <w:color w:val="000000"/>
          <w:sz w:val="22"/>
          <w:szCs w:val="22"/>
        </w:rPr>
        <w:t xml:space="preserve">METALLIZATION ADHESION: Tape test (Section 4 of P2C) must still show &lt;5% ink/metallization lift. If adhesion fails: metallization is delaminating due to moisture ingress.</w:t>
      </w:r>
    </w:p>
    <w:p>
      <w:pPr>
        <w:spacing w:after="160"/>
      </w:pPr>
      <w:r>
        <w:rPr>
          <w:rFonts w:ascii="Arial" w:cs="Arial" w:eastAsia="Arial" w:hAnsi="Arial"/>
          <w:b w:val="false"/>
          <w:bCs w:val="false"/>
          <w:i w:val="false"/>
          <w:iCs w:val="false"/>
          <w:color w:val="000000"/>
          <w:sz w:val="22"/>
          <w:szCs w:val="22"/>
        </w:rPr>
        <w:t xml:space="preserve">OVERALL: Product passes shelf life test if ALL 5 metrics remain above thresholds at the tested timepoint. If ANY metric fails at a given timepoint: the shelf life is the PREVIOUS passing timepoint. Example: if Month 6 passes but Month 12 fails, shelf life is 6 months.</w:t>
      </w:r>
    </w:p>
    <w:p>
      <w:r>
        <w:br w:type="page"/>
      </w:r>
    </w:p>
    <w:p>
      <w:pPr>
        <w:pStyle w:val="Heading1"/>
        <w:spacing w:before="360" w:after="200"/>
      </w:pPr>
      <w:r>
        <w:rPr>
          <w:rFonts w:ascii="Arial" w:cs="Arial" w:eastAsia="Arial" w:hAnsi="Arial"/>
        </w:rPr>
        <w:t xml:space="preserve">6. Sustainability Claims Document</w:t>
      </w:r>
    </w:p>
    <w:p>
      <w:pPr>
        <w:spacing w:after="160"/>
      </w:pPr>
      <w:r>
        <w:rPr>
          <w:rFonts w:ascii="Arial" w:cs="Arial" w:eastAsia="Arial" w:hAnsi="Arial"/>
          <w:b/>
          <w:bCs/>
          <w:i w:val="false"/>
          <w:iCs w:val="false"/>
          <w:color w:val="000000"/>
          <w:sz w:val="22"/>
          <w:szCs w:val="22"/>
        </w:rPr>
        <w:t xml:space="preserve">This is the legal reference document for every environmental claim the brand makes. </w:t>
      </w:r>
      <w:r>
        <w:rPr>
          <w:rFonts w:ascii="Arial" w:cs="Arial" w:eastAsia="Arial" w:hAnsi="Arial"/>
          <w:b w:val="false"/>
          <w:bCs w:val="false"/>
          <w:i w:val="false"/>
          <w:iCs w:val="false"/>
          <w:color w:val="000000"/>
          <w:sz w:val="22"/>
          <w:szCs w:val="22"/>
        </w:rPr>
        <w:t xml:space="preserve">Every piece of marketing copy, every Amazon bullet point, every B2B data sheet, every social media post must be checked against this table before publication. The classification system: GREEN = defensible from Day 1. YELLOW = defensible only after specific conditions are met. RED = never use under any circumstances.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4600"/>
      </w:tblGrid>
      <w:tr>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Claim</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Classification</w:t>
            </w:r>
          </w:p>
        </w:tc>
        <w:tc>
          <w:tcPr>
            <w:tcW w:type="dxa" w:w="4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Evidence / Conditions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“Made from certified compostable plant-based materials”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GREEN — Fully defensible</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BPI certificates for NatureFlex NM; PLA from NatureWorks Ingeo (plant-based PLA from corn starch). True from Day 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“BPI Certified Compostable (ASTM D6400)”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GREEN — Only after BPI cert obtained</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Cannot use BPI mark until certificate is issued. Pre-certification: use “Made from BPI-certified compostable materials” (refers to component certs).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“Composts fully in industrial composting facilities within 12 weeks”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GREEN — Defensible with lab data</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Based on EN 13432 disintegration requirement (90% at 12 weeks). Qualify with “in certified industrial composting facilities maintaining 55–60°C.”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“Home compostable”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YELLOW — Only after HOME cert obtained</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Cannot claim until TÜV OK Compost HOME or BPI HOME certificate is issued. PLA spunbond layer is the risk. Pre-certification: do NOT claim home compostable.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“Biodegradable”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RED — Avoid entirely</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FTC Green Guides require that “biodegradable” claims be substantiated for the disposal environment in which the product will actually end up. Since most runners will not compost the poncho, this claim is misleading. Use “compostable” instead.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“Eco-friendly”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RED — Avoid entirely</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Unqualified. FTC Green Guides specifically flag this as a deceptive claim unless every aspect of the product is eco-friendly. No product meets this standard.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“Zero microplastics”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YELLOW — Defensible but qualify</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 is technically a plastic. Under industrial composting, PLA biodegrades completely to CO₂ + H₂O without leaving microplastics (confirmed by PLA/PHB study, Nature 2022). Qualify: “Leaves zero microplastics when industrially composted.”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“Replaces single-use plastic warmth products at race start lines”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GREEN — Defensible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Factually accurate. Heatsheets blankets are LDPE (plastic). Garbage bags are PE (plastic). This product replaces them.</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“Reflects 95% of body heat”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GREEN — With qualification</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Metallized films (aluminum vacuum deposition) reflect 95–97% of infrared radiation. Same physics as Heatsheets/NASA. Qualify: “Metallized lining reflects up to 95% of radiated body heat.”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“Carbon neutral”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RED — Do NOT claim</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EU Green Claims Directive (Sept 2026) bans “carbon neutral” claims based on offsets. FTC increasingly skeptical. Even if lifecycle analysis shows lower CO₂ than LDPE, “carbon neutral” requires verified offsets. Avoid entirely.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“Sustainable”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RED — Avoid as standalone claim</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Unqualified “sustainable” is flagged by FTC, EU, and consumer advocates. Instead: “Made from renewable plant-based materials” + “Certified compostable” = specific, defensible.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“Production emits approximately 60% less fossil CO₂ than conventional LDPE blankets”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YELLOW — Requires LCA data</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Defensible IF supported by life cycle assessment (LCA). PLA production from NatureWorks Ingeo has published LCA data showing 60–75% GHG reduction vs. petroleum-based plastics. Cite NatureWorks data. Full product LCA ($5K–$15K) recommended before Year 2.</w:t>
            </w:r>
          </w:p>
        </w:tc>
      </w:tr>
    </w:tbl>
    <w:p>
      <w:pPr>
        <w:spacing w:before="200"/>
      </w:pPr>
    </w:p>
    <w:p>
      <w:pPr>
        <w:pStyle w:val="Heading2"/>
        <w:spacing w:before="280" w:after="160"/>
      </w:pPr>
      <w:r>
        <w:rPr>
          <w:rFonts w:ascii="Arial" w:cs="Arial" w:eastAsia="Arial" w:hAnsi="Arial"/>
        </w:rPr>
        <w:t xml:space="preserve">6.1 Pre-Certification Messaging (Before BPI Cert Obtained)</w:t>
      </w:r>
    </w:p>
    <w:p>
      <w:pPr>
        <w:spacing w:after="160"/>
      </w:pPr>
      <w:r>
        <w:rPr>
          <w:rFonts w:ascii="Arial" w:cs="Arial" w:eastAsia="Arial" w:hAnsi="Arial"/>
          <w:b w:val="false"/>
          <w:bCs w:val="false"/>
          <w:i w:val="false"/>
          <w:iCs w:val="false"/>
          <w:color w:val="000000"/>
          <w:sz w:val="22"/>
          <w:szCs w:val="22"/>
        </w:rPr>
        <w:t xml:space="preserve">Before BPI certification is issued, the brand CANNOT use the BPI Certification Mark or claim “BPI Certified Compostable.” However, the brand CAN make the following factual claims: “Made from BPI-certified compostable materials (NatureFlex NM, BPI #C119399).” “Manufactured from plant-based, compostable materials.” “Designed for industrial composting.” “Full-product BPI certification in progress.” These claims are factually accurate and defensible under FTC Green Guides because they describe the materials, not the finished product’s certification status.</w:t>
      </w:r>
    </w:p>
    <w:p>
      <w:pPr>
        <w:pStyle w:val="Heading2"/>
        <w:spacing w:before="280" w:after="160"/>
      </w:pPr>
      <w:r>
        <w:rPr>
          <w:rFonts w:ascii="Arial" w:cs="Arial" w:eastAsia="Arial" w:hAnsi="Arial"/>
        </w:rPr>
        <w:t xml:space="preserve">6.2 FTC Green Guides Compliance Checklist</w:t>
      </w:r>
    </w:p>
    <w:p>
      <w:pPr>
        <w:spacing w:after="160"/>
      </w:pPr>
      <w:r>
        <w:rPr>
          <w:rFonts w:ascii="Arial" w:cs="Arial" w:eastAsia="Arial" w:hAnsi="Arial"/>
          <w:b w:val="false"/>
          <w:bCs w:val="false"/>
          <w:i w:val="false"/>
          <w:iCs w:val="false"/>
          <w:color w:val="000000"/>
          <w:sz w:val="22"/>
          <w:szCs w:val="22"/>
        </w:rPr>
        <w:t xml:space="preserve">The FTC’s Guides for the Use of Environmental Marketing Claims (16 CFR Part 260, updated 2012, revision expected 2026–2027) govern ALL environmental marketing claims in the US. Key requirements for compostable products: (1) Must qualify claims with the type of composting facility where the product will biodegrade (“industrial” vs. “home”). (2) Must have competent and reliable scientific evidence (lab test data). (3) Must not imply composting infrastructure is widely available if it is not. (4) Unqualified “biodegradable” claims imply degradation within one year after customary disposal — which is NOT true for PLA in landfills. (5) “Compostable” claims should be qualified with “in industrial composting facilities” unless home composting cert is obtained.</w:t>
      </w:r>
    </w:p>
    <w:p>
      <w:pPr>
        <w:pStyle w:val="Heading2"/>
        <w:spacing w:before="280" w:after="160"/>
      </w:pPr>
      <w:r>
        <w:rPr>
          <w:rFonts w:ascii="Arial" w:cs="Arial" w:eastAsia="Arial" w:hAnsi="Arial"/>
        </w:rPr>
        <w:t xml:space="preserve">6.3 EU Green Claims Directive (September 2026)</w:t>
      </w:r>
    </w:p>
    <w:p>
      <w:pPr>
        <w:spacing w:after="160"/>
      </w:pPr>
      <w:r>
        <w:rPr>
          <w:rFonts w:ascii="Arial" w:cs="Arial" w:eastAsia="Arial" w:hAnsi="Arial"/>
          <w:b w:val="false"/>
          <w:bCs w:val="false"/>
          <w:i w:val="false"/>
          <w:iCs w:val="false"/>
          <w:color w:val="000000"/>
          <w:sz w:val="22"/>
          <w:szCs w:val="22"/>
        </w:rPr>
        <w:t xml:space="preserve">The EU Green Claims Directive is STRICTER than FTC Green Guides. Key requirements effective September 2026: (1) ALL environmental claims must be substantiated by a lifecycle assessment (LCA) or equivalent science before being made. (2) Claims must be specific (not “eco-friendly” or “sustainable”). (3) “Carbon neutral” claims based on offsets are BANNED. (4) Sustainability labels must be third-party verified. (5) Penalties for non-compliance include fines up to 4% of annual turnover. For Year 2 EU market entry: ensure all claims are pre-approved against this directive.</w:t>
      </w:r>
    </w:p>
    <w:p>
      <w:pPr>
        <w:pStyle w:val="Heading2"/>
        <w:spacing w:before="280" w:after="160"/>
      </w:pPr>
      <w:r>
        <w:rPr>
          <w:rFonts w:ascii="Arial" w:cs="Arial" w:eastAsia="Arial" w:hAnsi="Arial"/>
        </w:rPr>
        <w:t xml:space="preserve">6.4 US State-Specific Compostable Labeling Laws</w:t>
      </w:r>
    </w:p>
    <w:p>
      <w:pPr>
        <w:spacing w:after="160"/>
      </w:pPr>
      <w:r>
        <w:rPr>
          <w:rFonts w:ascii="Arial" w:cs="Arial" w:eastAsia="Arial" w:hAnsi="Arial"/>
          <w:b/>
          <w:bCs/>
          <w:i w:val="false"/>
          <w:iCs w:val="false"/>
          <w:color w:val="2E7D32"/>
          <w:sz w:val="22"/>
          <w:szCs w:val="22"/>
        </w:rPr>
        <w:t xml:space="preserve">[GAP P2-05 CLOSED] </w:t>
      </w:r>
      <w:r>
        <w:rPr>
          <w:rFonts w:ascii="Arial" w:cs="Arial" w:eastAsia="Arial" w:hAnsi="Arial"/>
          <w:b w:val="false"/>
          <w:bCs w:val="false"/>
          <w:i w:val="false"/>
          <w:iCs w:val="false"/>
          <w:color w:val="000000"/>
          <w:sz w:val="22"/>
          <w:szCs w:val="22"/>
        </w:rPr>
        <w:t xml:space="preserve">Federal FTC Green Guides provide baseline guidance, but INDIVIDUAL STATES have enacted stricter compostable labeling laws with distinct requirements and penalties. Several of these states host major marathons (California, Washington, Colorado, Oregon). Non-compliance can result in misdemeanor charges (CA), fines of $10,000+ per SKU (CA), and private litigation under state consumer protection laws. This section audits every relevant state law and maps the compliance path.</w:t>
      </w:r>
    </w:p>
    <w:p>
      <w:pPr>
        <w:spacing w:after="160"/>
      </w:pPr>
      <w:r>
        <w:rPr>
          <w:rFonts w:ascii="Arial" w:cs="Arial" w:eastAsia="Arial" w:hAnsi="Arial"/>
          <w:b/>
          <w:bCs/>
          <w:i w:val="false"/>
          <w:iCs w:val="false"/>
          <w:color w:val="000000"/>
          <w:sz w:val="22"/>
          <w:szCs w:val="22"/>
        </w:rPr>
        <w:t xml:space="preserve">CALIFORNIA — SB 343 (Truth in Labeling, 2021) + AB 1201 (Compostable Products, 2021): SB 343 primarily addresses recyclability claims (bans chasing-arrows symbol unless 60% collection threshold met), but also cross-references compostability. Compliance deadline: October 4, 2026 (18 months after CalRecycle’s April 2025 final Material Characterization Study). AB 1201 is the CRITICAL law for compostable products: prohibits sale of ANY product labeled “compostable” in California unless it meets ASTM D6400 or D6868. Products labeled “home compostable” must hold TÜV Austria OK Compost HOME certification. Additional AB 1201 requirement: product labeled “compostable” must also qualify as an allowable agricultural organic input under the USDA National Organic Program (NOP). The NOP requirement is complex: PLA-based products may NOT meet NOP criteria because NOP restricts synthetic substances in compostable inputs. BPI has been actively petitioning USDA to update NOP rules; California extended the AB 1201 NOP compliance deadline (check BPI updates for latest status). ACTION: (1) Obtain BPI certification (satisfies ASTM D6400 requirement). (2) Monitor AB 1201 NOP deadline status via BPI advocacy updates (bpiworld.org). (3) If NOP requirement remains in force and PLA does not qualify: consider labeling product as “industrially compostable per ASTM D6400” without using the standalone word “compostable” on packaging sold in CA, OR apply for a NOP variance. (4) Budget for regulatory attorney review of CA labeling: $500–$1,500. Races: LA Marathon, San Francisco Marathon, Big Sur Marathon.</w:t>
      </w:r>
    </w:p>
    <w:p>
      <w:pPr>
        <w:spacing w:after="160"/>
      </w:pPr>
      <w:r>
        <w:rPr>
          <w:rFonts w:ascii="Arial" w:cs="Arial" w:eastAsia="Arial" w:hAnsi="Arial"/>
          <w:b/>
          <w:bCs/>
          <w:i w:val="false"/>
          <w:iCs w:val="false"/>
          <w:color w:val="000000"/>
          <w:sz w:val="22"/>
          <w:szCs w:val="22"/>
        </w:rPr>
        <w:t xml:space="preserve">WASHINGTON — HB 1799 (Organics Management, 2022): Effective January 1, 2024. Products labeled “compostable” in Washington must display the logo or certification mark of a third-party certifier (BPI mark satisfies this). Products must meet ASTM D6400 or D6868. Products labeled “compostable” that are not certified may be subject to enforcement action. Washington also requires that compostable products be “clearly distinguishable from non-compostable products” through color, labeling, or marking. ACTION: (1) BPI certification + BPI mark on packaging satisfies HB 1799. (2) Ensure poncho’s distinctive earth-green + metallic appearance makes it visually distinguishable from PE garbage bags and Heatsheets blankets. (3) Add “BPI Certified Compostable” prominently on packaging. Races: Seattle Marathon.</w:t>
      </w:r>
    </w:p>
    <w:p>
      <w:pPr>
        <w:spacing w:after="160"/>
      </w:pPr>
      <w:r>
        <w:rPr>
          <w:rFonts w:ascii="Arial" w:cs="Arial" w:eastAsia="Arial" w:hAnsi="Arial"/>
          <w:b/>
          <w:bCs/>
          <w:i w:val="false"/>
          <w:iCs w:val="false"/>
          <w:color w:val="000000"/>
          <w:sz w:val="22"/>
          <w:szCs w:val="22"/>
        </w:rPr>
        <w:t xml:space="preserve">COLORADO — Compostables Labeling Act (SB 22-036, effective July 1, 2024): Products represented as compostable in Colorado must be: (A) certified compostable per ASTM D6400 or D6868, (B) clearly distinguishable through required labeling elements including certification logo, and (C) must NOT use labeling, tinting, color, words, or imagery that could mislead consumers into thinking a non-compostable product IS compostable. Prohibits: green-tinted plastic that mimics compostable look. ACTION: (1) BPI cert satisfies (A). (2) BPI mark on packaging satisfies (B). (3) Ensure any co-branded ponchos do not share visual design elements with non-compostable PE ponchos that could confuse consumers. Races: Colorado Marathon, Denver Colfax Marathon.</w:t>
      </w:r>
    </w:p>
    <w:p>
      <w:pPr>
        <w:spacing w:after="160"/>
      </w:pPr>
      <w:r>
        <w:rPr>
          <w:rFonts w:ascii="Arial" w:cs="Arial" w:eastAsia="Arial" w:hAnsi="Arial"/>
          <w:b/>
          <w:bCs/>
          <w:i w:val="false"/>
          <w:iCs w:val="false"/>
          <w:color w:val="000000"/>
          <w:sz w:val="22"/>
          <w:szCs w:val="22"/>
        </w:rPr>
        <w:t xml:space="preserve">OREGON — SB 582 (Plastic Pollution and Recycling Modernization Act, 2021) + HB 3055 (Truth in Labeling): Oregon’s EPR program requires producers to join a Producer Responsibility Organization (PRO) for packaging sold in Oregon. Compostable packaging must meet ASTM D6400 and be accepted by Oregon composting facilities. Oregon requires compostable products to be clearly labeled and distinguishable from recyclable products. ACTION: (1) Monitor Oregon PRO registration requirements (may apply if selling directly in OR). (2) BPI certification satisfies ASTM requirement. (3) Verify product acceptance with Oregon composting facilities before marketing. Races: Portland Marathon.</w:t>
      </w:r>
    </w:p>
    <w:p>
      <w:pPr>
        <w:spacing w:after="160"/>
      </w:pPr>
      <w:r>
        <w:rPr>
          <w:rFonts w:ascii="Arial" w:cs="Arial" w:eastAsia="Arial" w:hAnsi="Arial"/>
          <w:b/>
          <w:bCs/>
          <w:i w:val="false"/>
          <w:iCs w:val="false"/>
          <w:color w:val="000000"/>
          <w:sz w:val="22"/>
          <w:szCs w:val="22"/>
        </w:rPr>
        <w:t xml:space="preserve">MARYLAND — Environment Article §9-2101: Prohibits sale of plastic products labeled “biodegradable,” “degradable,” or “decomposable” unless they meet ASTM D6400. Does NOT restrict “compostable” if it meets ASTM D6400. ACTION: Never use “biodegradable” on the poncho (already prohibited in P2D Section 6 claims document). BPI cert is sufficient. Races: Baltimore Marathon.</w:t>
      </w:r>
    </w:p>
    <w:p>
      <w:pPr>
        <w:spacing w:after="160"/>
      </w:pPr>
      <w:r>
        <w:rPr>
          <w:rFonts w:ascii="Arial" w:cs="Arial" w:eastAsia="Arial" w:hAnsi="Arial"/>
          <w:b w:val="false"/>
          <w:bCs w:val="false"/>
          <w:i w:val="false"/>
          <w:iCs w:val="false"/>
          <w:color w:val="000000"/>
          <w:sz w:val="22"/>
          <w:szCs w:val="22"/>
        </w:rPr>
        <w:t xml:space="preserve">COMPLIANCE SUMMARY: BPI certification satisfies the core requirement in ALL 5 states (CA, WA, CO, OR, MD). The ONLY complication is California’s AB 1201 NOP requirement for PLA-based products, which is actively being challenged by BPI at the federal level. Monitor this closely. For pre-certification launch: qualify claims carefully (“made from BPI-certified compostable materials” rather than bare “compostable”) to reduce state-law exposure. Post-certification: display BPI mark prominently on all packaging. Budget: $500–$1,500 for attorney review of state-by-state compliance; $0 incremental if BPI cert is obtained (the cert does the heavy lifting).</w:t>
      </w:r>
    </w:p>
    <w:p>
      <w:r>
        <w:br w:type="page"/>
      </w:r>
    </w:p>
    <w:p>
      <w:pPr>
        <w:pStyle w:val="Heading1"/>
        <w:spacing w:before="360" w:after="200"/>
      </w:pPr>
      <w:r>
        <w:rPr>
          <w:rFonts w:ascii="Arial" w:cs="Arial" w:eastAsia="Arial" w:hAnsi="Arial"/>
        </w:rPr>
        <w:t xml:space="preserve">7. Lifecycle Assessment (LCA) Plan</w:t>
      </w:r>
    </w:p>
    <w:p>
      <w:pPr>
        <w:spacing w:after="160"/>
      </w:pPr>
      <w:r>
        <w:rPr>
          <w:rFonts w:ascii="Arial" w:cs="Arial" w:eastAsia="Arial" w:hAnsi="Arial"/>
          <w:b/>
          <w:bCs/>
          <w:i w:val="false"/>
          <w:iCs w:val="false"/>
          <w:color w:val="2E7D32"/>
          <w:sz w:val="22"/>
          <w:szCs w:val="22"/>
        </w:rPr>
        <w:t xml:space="preserve">[GAP P2-02 CLOSED] </w:t>
      </w:r>
      <w:r>
        <w:rPr>
          <w:rFonts w:ascii="Arial" w:cs="Arial" w:eastAsia="Arial" w:hAnsi="Arial"/>
          <w:b w:val="false"/>
          <w:bCs w:val="false"/>
          <w:i w:val="false"/>
          <w:iCs w:val="false"/>
          <w:color w:val="000000"/>
          <w:sz w:val="22"/>
          <w:szCs w:val="22"/>
        </w:rPr>
        <w:t xml:space="preserve">A lifecycle assessment quantifies the environmental footprint of the poncho from raw material extraction through end-of-life. It is REQUIRED by the EU Green Claims Directive (Sept 2026) to substantiate any environmental claim in the EU market and is the only way to defensibly make the P1C claim “production emits approximately 60% less fossil CO₂ than conventional LDPE blankets.” Without a completed LCA, the brand cannot enter the EU market and multiple high-value marketing claims remain legally unusable.</w:t>
      </w:r>
    </w:p>
    <w:p>
      <w:pPr>
        <w:pStyle w:val="Heading2"/>
        <w:spacing w:before="280" w:after="160"/>
      </w:pPr>
      <w:r>
        <w:rPr>
          <w:rFonts w:ascii="Arial" w:cs="Arial" w:eastAsia="Arial" w:hAnsi="Arial"/>
        </w:rPr>
        <w:t xml:space="preserve">7.1 LCA Scope &amp; Methodology</w:t>
      </w:r>
    </w:p>
    <w:p>
      <w:pPr>
        <w:spacing w:after="160"/>
      </w:pPr>
      <w:r>
        <w:rPr>
          <w:rFonts w:ascii="Arial" w:cs="Arial" w:eastAsia="Arial" w:hAnsi="Arial"/>
          <w:b w:val="false"/>
          <w:bCs w:val="false"/>
          <w:i w:val="false"/>
          <w:iCs w:val="false"/>
          <w:color w:val="000000"/>
          <w:sz w:val="22"/>
          <w:szCs w:val="22"/>
        </w:rPr>
        <w:t xml:space="preserve">STANDARD: ISO 14040:2006 (Principles and Framework) + ISO 14044:2006 (Requirements and Guidelines). These are the internationally recognized LCA standards and the ones referenced by the EU Green Claims Directive, the EU PPWR, and the Product Environmental Footprint (PEF) methodology.</w:t>
      </w:r>
    </w:p>
    <w:p>
      <w:pPr>
        <w:spacing w:after="160"/>
      </w:pPr>
      <w:r>
        <w:rPr>
          <w:rFonts w:ascii="Arial" w:cs="Arial" w:eastAsia="Arial" w:hAnsi="Arial"/>
          <w:b w:val="false"/>
          <w:bCs w:val="false"/>
          <w:i w:val="false"/>
          <w:iCs w:val="false"/>
          <w:color w:val="000000"/>
          <w:sz w:val="22"/>
          <w:szCs w:val="22"/>
        </w:rPr>
        <w:t xml:space="preserve">GOAL: Quantify the environmental impacts of one compostable warmth poncho (Config B: NatureFlex NM + PLA spunbond 35 gsm) across its full lifecycle, and compare against the conventional alternative (LDPE Heatsheets-style blanket). The comparison enables defensible “X% less CO₂” claims and provides the evidence base for EU market entry.</w:t>
      </w:r>
    </w:p>
    <w:p>
      <w:pPr>
        <w:spacing w:after="160"/>
      </w:pPr>
      <w:r>
        <w:rPr>
          <w:rFonts w:ascii="Arial" w:cs="Arial" w:eastAsia="Arial" w:hAnsi="Arial"/>
          <w:b w:val="false"/>
          <w:bCs w:val="false"/>
          <w:i w:val="false"/>
          <w:iCs w:val="false"/>
          <w:color w:val="000000"/>
          <w:sz w:val="22"/>
          <w:szCs w:val="22"/>
        </w:rPr>
        <w:t xml:space="preserve">FUNCTIONAL UNIT: One single-use warmth poncho providing ≥30 minutes of radiant heat retention in 35–50°F ambient temperature, disposed of after single use. This functional unit enables direct comparison with the LDPE alternative that performs the same function.</w:t>
      </w:r>
    </w:p>
    <w:p>
      <w:pPr>
        <w:spacing w:after="160"/>
      </w:pPr>
      <w:r>
        <w:rPr>
          <w:rFonts w:ascii="Arial" w:cs="Arial" w:eastAsia="Arial" w:hAnsi="Arial"/>
          <w:b w:val="false"/>
          <w:bCs w:val="false"/>
          <w:i w:val="false"/>
          <w:iCs w:val="false"/>
          <w:color w:val="000000"/>
          <w:sz w:val="22"/>
          <w:szCs w:val="22"/>
        </w:rPr>
        <w:t xml:space="preserve">SYSTEM BOUNDARY: Cradle-to-grave. Stage 1 — Raw Material Acquisition: corn cultivation for PLA (NatureWorks Ingeo, Blair NE), wood pulp for cellulose (Futamura NatureFlex, sourced from managed forests), aluminum wire for metallization, natural rubber for elastic, PLA resin for cordlock. Stage 2 — Manufacturing: PLA resin polymerization (NatureWorks), BOPLA/cellulose film extrusion, vacuum metallization, PLA spunbond production, converting (die-cut, bonding, perforation, printing, folding, packaging). Stage 3 — Distribution: factory to 3PL warehouse (ocean freight if China converter; domestic truck if US/UK converter), warehouse to customer (Amazon FBA or direct B2B to race venue). Stage 4 — Use Phase: zero impact (product is worn, no energy input). Stage 5 — End-of-Life: three scenarios modeled: (A) industrial composting (target scenario, product becomes CO₂ + H₂O + biomass), (B) landfill (PLA remains inert for decades, cellulose slowly degrades, produces negligible methane), (C) incineration with energy recovery (product combusts to CO₂ + H₂O with biogenic carbon credit).</w:t>
      </w:r>
    </w:p>
    <w:p>
      <w:pPr>
        <w:pStyle w:val="Heading2"/>
        <w:spacing w:before="280" w:after="160"/>
      </w:pPr>
      <w:r>
        <w:rPr>
          <w:rFonts w:ascii="Arial" w:cs="Arial" w:eastAsia="Arial" w:hAnsi="Arial"/>
        </w:rPr>
        <w:t xml:space="preserve">7.2 Impact Categories</w:t>
      </w:r>
    </w:p>
    <w:p>
      <w:pPr>
        <w:spacing w:after="160"/>
      </w:pPr>
      <w:r>
        <w:rPr>
          <w:rFonts w:ascii="Arial" w:cs="Arial" w:eastAsia="Arial" w:hAnsi="Arial"/>
          <w:b w:val="false"/>
          <w:bCs w:val="false"/>
          <w:i w:val="false"/>
          <w:iCs w:val="false"/>
          <w:color w:val="000000"/>
          <w:sz w:val="22"/>
          <w:szCs w:val="22"/>
        </w:rPr>
        <w:t xml:space="preserve">The LCA must assess at minimum these 6 impact categories to satisfy EU PEF requirements and provide a comprehensive environmental profile: (1) CLIMATE CHANGE / GWP (kg CO₂ eq) — the most important category for marketing; basis of the “60% less CO₂” claim. (2) FOSSIL RESOURCE DEPLETION (MJ) — differentiates bio-based (renewable feedstock) from fossil-based (petroleum). (3) WATER USE (m³) — corn cultivation for PLA requires irrigation; this is the one category where PLA may perform WORSE than LDPE. Document honestly. (4) LAND USE (m² × yr) — agricultural land for corn. (5) ACIDIFICATION (mol H+ eq) — from agricultural inputs (fertilizer) and manufacturing energy. (6) EUTROPHICATION (kg P eq) — from agricultural runoff.</w:t>
      </w:r>
    </w:p>
    <w:p>
      <w:pPr>
        <w:spacing w:after="160"/>
      </w:pPr>
      <w:r>
        <w:rPr>
          <w:rFonts w:ascii="Arial" w:cs="Arial" w:eastAsia="Arial" w:hAnsi="Arial"/>
          <w:b w:val="false"/>
          <w:bCs w:val="false"/>
          <w:i w:val="false"/>
          <w:iCs w:val="false"/>
          <w:color w:val="000000"/>
          <w:sz w:val="22"/>
          <w:szCs w:val="22"/>
        </w:rPr>
        <w:t xml:space="preserve">IMPACT ASSESSMENT METHOD: ReCiPe 2016 Midpoint (H) — the most widely used method in PLA LCA literature (24% of studies per systematic review). Alternative: EN 15804+A2 (construction sector standard, but increasingly used for packaging). Use ReCiPe for primary results; run EN 15804 as sensitivity check if targeting EU Environmental Product Declaration (EPD).</w:t>
      </w:r>
    </w:p>
    <w:p>
      <w:pPr>
        <w:pStyle w:val="Heading2"/>
        <w:spacing w:before="280" w:after="160"/>
      </w:pPr>
      <w:r>
        <w:rPr>
          <w:rFonts w:ascii="Arial" w:cs="Arial" w:eastAsia="Arial" w:hAnsi="Arial"/>
        </w:rPr>
        <w:t xml:space="preserve">7.3 Data Sources &amp; Software</w:t>
      </w:r>
    </w:p>
    <w:p>
      <w:pPr>
        <w:spacing w:after="160"/>
      </w:pPr>
      <w:r>
        <w:rPr>
          <w:rFonts w:ascii="Arial" w:cs="Arial" w:eastAsia="Arial" w:hAnsi="Arial"/>
          <w:b w:val="false"/>
          <w:bCs w:val="false"/>
          <w:i w:val="false"/>
          <w:iCs w:val="false"/>
          <w:color w:val="000000"/>
          <w:sz w:val="22"/>
          <w:szCs w:val="22"/>
        </w:rPr>
        <w:t xml:space="preserve">PRIMARY DATA (foreground): Collect from actual suppliers: (1) NatureWorks Ingeo published LCA data for PLA resin production (available at natureworksllc.com/What-is-Ingeo/Where-Ingeo-Comes-From, Eco-Profile 2021). NatureWorks reports 0.82 kg CO₂ eq per kg PLA resin (cradle-to-gate), vs. 2.0–3.5 kg CO₂ eq per kg LDPE. This is the foundation of the “60% less CO₂” claim. (2) Futamura NatureFlex environmental data (request from Futamura; they publish carbon footprint data for NatureFlex NM). (3) Converter energy use per unit (request from Parkside, ProAmpac, or China converter). (4) Packaging materials and transport distances (from actual supply chain).</w:t>
      </w:r>
    </w:p>
    <w:p>
      <w:pPr>
        <w:spacing w:after="160"/>
      </w:pPr>
      <w:r>
        <w:rPr>
          <w:rFonts w:ascii="Arial" w:cs="Arial" w:eastAsia="Arial" w:hAnsi="Arial"/>
          <w:b w:val="false"/>
          <w:bCs w:val="false"/>
          <w:i w:val="false"/>
          <w:iCs w:val="false"/>
          <w:color w:val="000000"/>
          <w:sz w:val="22"/>
          <w:szCs w:val="22"/>
        </w:rPr>
        <w:t xml:space="preserve">SECONDARY DATA (background): Ecoinvent v3.10 database — the gold standard for LCA background data, integrated in all major LCA tools. Covers: electricity grid mixes by country, transportation modes (ocean, truck, rail), raw material extraction, waste treatment (composting, landfill, incineration). Cost: $3,390/year for commercial license (ecoinvent.org). Alternative: USLCI (US Life Cycle Inventory, free, from NREL — fewer processes but adequate for a simplified LCA).</w:t>
      </w:r>
    </w:p>
    <w:p>
      <w:pPr>
        <w:spacing w:after="160"/>
      </w:pPr>
      <w:r>
        <w:rPr>
          <w:rFonts w:ascii="Arial" w:cs="Arial" w:eastAsia="Arial" w:hAnsi="Arial"/>
          <w:b w:val="false"/>
          <w:bCs w:val="false"/>
          <w:i w:val="false"/>
          <w:iCs w:val="false"/>
          <w:color w:val="000000"/>
          <w:sz w:val="22"/>
          <w:szCs w:val="22"/>
        </w:rPr>
        <w:t xml:space="preserve">SOFTWARE OPTIONS: Option A (Full professional, $3K–15K total) — SimaPro ($4,000–7,500/year license) + Ecoinvent ($3,390/year). Used in 52% of PLA LCA studies. Most rigorous. Produces ISO-compliant results suitable for third-party critical review. Option B (Budget professional, $1K–3K total) — OpenLCA (free, open-source, openlca.org) + Ecoinvent ($3,390/year) or USLCI (free). OpenLCA is used by EU institutions and is fully ISO 14040/44 compliant. Best value for a startup. Option C (Outsourced, $5K–15K) — Commission a third-party LCA practitioner to conduct the full study. Delivers a peer-reviewable LCA report. Firms: EarthShift Global (earthshiftglobal.com, US), Quantis (quantis.com, global), Sphera (sphera.com, global), or a university sustainability department (lower cost, $3K–8K). Option D (Simplified screening, $0–1K) — Use NatureWorks’ published Eco-Profile data + Futamura’s carbon footprint data + basic transport calculations to estimate the poncho’s GWP WITHOUT full LCA software. Sufficient for INTERNAL decision-making and directional marketing claims but NOT sufficient for EU Green Claims Directive compliance or third-party verified EPD.</w:t>
      </w:r>
    </w:p>
    <w:p>
      <w:pPr>
        <w:pStyle w:val="Heading2"/>
        <w:spacing w:before="280" w:after="160"/>
      </w:pPr>
      <w:r>
        <w:rPr>
          <w:rFonts w:ascii="Arial" w:cs="Arial" w:eastAsia="Arial" w:hAnsi="Arial"/>
        </w:rPr>
        <w:t xml:space="preserve">7.4 Comparison Product: LDPE Heatsheets-Style Blanket</w:t>
      </w:r>
    </w:p>
    <w:p>
      <w:pPr>
        <w:spacing w:after="160"/>
      </w:pPr>
      <w:r>
        <w:rPr>
          <w:rFonts w:ascii="Arial" w:cs="Arial" w:eastAsia="Arial" w:hAnsi="Arial"/>
          <w:b w:val="false"/>
          <w:bCs w:val="false"/>
          <w:i w:val="false"/>
          <w:iCs w:val="false"/>
          <w:color w:val="000000"/>
          <w:sz w:val="22"/>
          <w:szCs w:val="22"/>
        </w:rPr>
        <w:t xml:space="preserve">The LCA must include a COMPARATOR product to substantiate “X% less CO₂” claims. The comparator is: conventional LDPE metallized mylar finish blanket (“Heatsheets Classic” equivalent). Functional unit: same (one single-use warmth wrap for ≥30 min). Material: Low-density polyethylene (LDPE) film, ~15–20µm, vacuum metallized aluminum, ~50–60g per unit. End-of-life: Scenario A — recyclable through Trex partnership (Heatsheets’ current program); Scenario B — landfill (realistic majority scenario, LDPE persists for centuries). Published LDPE data: Ecoinvent includes LDPE film production processes. NatureWorks’ Eco-Profile compares Ingeo PLA against LDPE, HDPE, PET, and PP on all major impact categories.</w:t>
      </w:r>
    </w:p>
    <w:p>
      <w:pPr>
        <w:spacing w:after="160"/>
      </w:pPr>
      <w:r>
        <w:rPr>
          <w:rFonts w:ascii="Arial" w:cs="Arial" w:eastAsia="Arial" w:hAnsi="Arial"/>
          <w:b w:val="false"/>
          <w:bCs w:val="false"/>
          <w:i w:val="false"/>
          <w:iCs w:val="false"/>
          <w:color w:val="000000"/>
          <w:sz w:val="22"/>
          <w:szCs w:val="22"/>
        </w:rPr>
        <w:t xml:space="preserve">EXPECTED RESULT based on published data: PLA-based poncho GWP = 0.10–0.18 kg CO₂ eq per unit (estimated from NatureWorks 0.82 kg CO₂/kg PLA × ~0.06 kg PLA per poncho + cellulose film + converting energy). LDPE blanket GWP = 0.15–0.30 kg CO₂ eq per unit (estimated from Ecoinvent LDPE 2.0–3.5 kg CO₂/kg × ~0.05 kg LDPE + metallization + converting). Directional conclusion: 30–60% GWP reduction is likely but must be verified by the full LCA. The P1C claim “approximately 60% less fossil CO₂” should be updated to match the actual LCA result once available.</w:t>
      </w:r>
    </w:p>
    <w:p>
      <w:pPr>
        <w:pStyle w:val="Heading2"/>
        <w:spacing w:before="280" w:after="160"/>
      </w:pPr>
      <w:r>
        <w:rPr>
          <w:rFonts w:ascii="Arial" w:cs="Arial" w:eastAsia="Arial" w:hAnsi="Arial"/>
        </w:rPr>
        <w:t xml:space="preserve">7.5 LCA Timeline &amp; Budget</w:t>
      </w:r>
    </w:p>
    <w:p>
      <w:pPr>
        <w:spacing w:after="160"/>
      </w:pPr>
      <w:r>
        <w:rPr>
          <w:rFonts w:ascii="Arial" w:cs="Arial" w:eastAsia="Arial" w:hAnsi="Arial"/>
          <w:b/>
          <w:bCs/>
          <w:i w:val="false"/>
          <w:iCs w:val="false"/>
          <w:color w:val="000000"/>
          <w:sz w:val="22"/>
          <w:szCs w:val="22"/>
        </w:rPr>
        <w:t xml:space="preserve">PHASE 1 (Month 4–6): Simplified screening LCA using published NatureWorks + Futamura data + transport estimates. Purpose: directional GWP comparison for internal decision-making and pre-certification marketing. Use Option D. Cost: $0–1,000 (founder time). Deliverable: 2–3 page internal memo with estimated GWP per unit for poncho vs. LDPE blanket.</w:t>
      </w:r>
    </w:p>
    <w:p>
      <w:pPr>
        <w:spacing w:after="160"/>
      </w:pPr>
      <w:r>
        <w:rPr>
          <w:rFonts w:ascii="Arial" w:cs="Arial" w:eastAsia="Arial" w:hAnsi="Arial"/>
          <w:b/>
          <w:bCs/>
          <w:i w:val="false"/>
          <w:iCs w:val="false"/>
          <w:color w:val="000000"/>
          <w:sz w:val="22"/>
          <w:szCs w:val="22"/>
        </w:rPr>
        <w:t xml:space="preserve">PHASE 2 (Month 6–10): Full ISO 14040/44 compliant LCA using OpenLCA + Ecoinvent (Option B) or commissioned from third-party practitioner (Option C). Purpose: defensible claims for EU Green Claims Directive, third-party reviewable report, basis for EPD if pursuing. Cost: $1,000–3,000 (DIY with Ecoinvent) or $5,000–15,000 (outsourced). Deliverable: 30–50 page LCA report with executive summary, methodology, LCI data, LCIA results (6 impact categories), sensitivity analysis, conclusions, and peer review statement.</w:t>
      </w:r>
    </w:p>
    <w:p>
      <w:pPr>
        <w:spacing w:after="160"/>
      </w:pPr>
      <w:r>
        <w:rPr>
          <w:rFonts w:ascii="Arial" w:cs="Arial" w:eastAsia="Arial" w:hAnsi="Arial"/>
          <w:b/>
          <w:bCs/>
          <w:i w:val="false"/>
          <w:iCs w:val="false"/>
          <w:color w:val="000000"/>
          <w:sz w:val="22"/>
          <w:szCs w:val="22"/>
        </w:rPr>
        <w:t xml:space="preserve">PHASE 3 (Month 10–12): Optional Environmental Product Declaration (EPD) based on LCA results. An EPD is a standardized, third-party verified summary of LCA results used in B2B procurement. Some EU sustainability-focused races may require EPDs from suppliers. Cost: $3,000–8,000 for third-party verification + program operator registration (e.g., EPD International, International EPD System). Deliverable: published EPD accessible via EPD registry.</w:t>
      </w:r>
    </w:p>
    <w:p>
      <w:pPr>
        <w:pStyle w:val="Heading2"/>
        <w:spacing w:before="280" w:after="160"/>
      </w:pPr>
      <w:r>
        <w:rPr>
          <w:rFonts w:ascii="Arial" w:cs="Arial" w:eastAsia="Arial" w:hAnsi="Arial"/>
        </w:rPr>
        <w:t xml:space="preserve">7.6 Claims Unlocked by LCA Completion</w:t>
      </w:r>
    </w:p>
    <w:p>
      <w:pPr>
        <w:spacing w:after="160"/>
      </w:pPr>
      <w:r>
        <w:rPr>
          <w:rFonts w:ascii="Arial" w:cs="Arial" w:eastAsia="Arial" w:hAnsi="Arial"/>
          <w:b w:val="false"/>
          <w:bCs w:val="false"/>
          <w:i w:val="false"/>
          <w:iCs w:val="false"/>
          <w:color w:val="000000"/>
          <w:sz w:val="22"/>
          <w:szCs w:val="22"/>
        </w:rPr>
        <w:t xml:space="preserve">Once the full LCA is completed (Phase 2), the following claims transition from YELLOW to GREEN in Section 6: “Production emits approximately [X]% less fossil CO₂ than conventional LDPE blankets” — replace 60% with actual LCA-verified percentage. “Lower water footprint than [comparator]” — ONLY if LCA confirms this (PLA from irrigated corn may have HIGHER water use than LDPE; document honestly). “Life cycle analysis confirms lower environmental impact across [N] categories” — list only the categories where the poncho outperforms LDPE. Be honest about categories where it does not (likely water use and possibly land use).</w:t>
      </w:r>
    </w:p>
    <w:p>
      <w:pPr>
        <w:spacing w:after="160"/>
      </w:pPr>
      <w:r>
        <w:rPr>
          <w:rFonts w:ascii="Arial" w:cs="Arial" w:eastAsia="Arial" w:hAnsi="Arial"/>
          <w:b w:val="false"/>
          <w:bCs w:val="false"/>
          <w:i w:val="false"/>
          <w:iCs w:val="false"/>
          <w:color w:val="000000"/>
          <w:sz w:val="22"/>
          <w:szCs w:val="22"/>
        </w:rPr>
        <w:t xml:space="preserve">CRITICAL: If the LCA reveals that the poncho performs WORSE than LDPE on any impact category, DO NOT suppress this finding. Disclose it proactively: “Our poncho has a higher water footprint than LDPE alternatives due to corn-based PLA agriculture, but a significantly lower carbon footprint and eliminates persistent plastic waste.” Transparency builds trust. Selective reporting destroys it — and violates the EU Green Claims Directive’s requirement for comprehensive disclosure.</w:t>
      </w:r>
    </w:p>
    <w:p>
      <w:r>
        <w:br w:type="page"/>
      </w:r>
    </w:p>
    <w:p>
      <w:pPr>
        <w:pStyle w:val="Heading1"/>
        <w:spacing w:before="360" w:after="200"/>
      </w:pPr>
      <w:r>
        <w:rPr>
          <w:rFonts w:ascii="Arial" w:cs="Arial" w:eastAsia="Arial" w:hAnsi="Arial"/>
        </w:rPr>
        <w:t xml:space="preserve">8. Race-Day Composting Logistics Guide for Race Directors</w:t>
      </w:r>
    </w:p>
    <w:p>
      <w:pPr>
        <w:spacing w:after="160"/>
      </w:pPr>
      <w:r>
        <w:rPr>
          <w:rFonts w:ascii="Arial" w:cs="Arial" w:eastAsia="Arial" w:hAnsi="Arial"/>
          <w:b/>
          <w:bCs/>
          <w:i w:val="false"/>
          <w:iCs w:val="false"/>
          <w:color w:val="000000"/>
          <w:sz w:val="22"/>
          <w:szCs w:val="22"/>
        </w:rPr>
        <w:t xml:space="preserve">This guide is a B2B sales tool delivered alongside poncho samples to race directors. </w:t>
      </w:r>
      <w:r>
        <w:rPr>
          <w:rFonts w:ascii="Arial" w:cs="Arial" w:eastAsia="Arial" w:hAnsi="Arial"/>
          <w:b w:val="false"/>
          <w:bCs w:val="false"/>
          <w:i w:val="false"/>
          <w:iCs w:val="false"/>
          <w:color w:val="000000"/>
          <w:sz w:val="22"/>
          <w:szCs w:val="22"/>
        </w:rPr>
        <w:t xml:space="preserve">It addresses the #1 objection from race operations teams: “How do we actually compost these?” If the logistics seem complex or expensive, the race director won’t buy. This guide must make composting seem simple, affordable, and manageable — because it IS.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70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7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Overview</w:t>
            </w:r>
          </w:p>
        </w:tc>
        <w:tc>
          <w:tcPr>
            <w:tcW w:type="dxa" w:w="7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This guide provides race directors with a practical, step-by-step protocol for collecting and composting ponchos at race events. It is designed for operations teams who may have no prior composting experience.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Pre-Race Setup</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Confirm composting partner: contact municipal composting facility within 50 miles of race venue. Verify they accept compostable serviceware/packaging (most that accept food scraps will accept certified compostable products). (2) Provide BPI certificate number to composting facility for verification. (3) Order clearly labeled compost collection bins: bright green with “COMPOST ONLY — Compostable Ponchos” signage. Minimum: 1 bin per 500 runners at start area + 1 per 250 runners along first 0.5 miles of course.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Bin Placement</w:t>
            </w:r>
          </w:p>
        </w:tc>
        <w:tc>
          <w:tcPr>
            <w:tcW w:type="dxa" w:w="7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Start area: bins every 50 meters along corral fences + at corral exit points. Course mile 0–0.5: bins every 100 meters on both sides of road (runners shed ponchos in the first half mile). DO NOT place bins beyond mile 1 — ponchos should all be shed by then. Include clear signage: “DROP PONCHO HERE → IT COMPOSTS!” with composting lifecycle icon (4-step graphic from P1B).</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Collection Protocol</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Volunteer teams of 2–4 stationed at each bin zone from gun time through gun + 30 min. (2) Volunteers collect ponchos from road surface and place in bins (many runners will drop on ground, not in bins). (3) After gun + 30 min: sweep team walks course mile 0–1 collecting remaining ponchos. (4) All bins transported to staging area within 2 hours of gun time.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Contamination Management</w:t>
            </w:r>
          </w:p>
        </w:tc>
        <w:tc>
          <w:tcPr>
            <w:tcW w:type="dxa" w:w="7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Problem: runners will also discard non-compostable items (garbage bags, PE ponchos, sweatshirts, water bottles) in compost bins. Solution: (1) Pre-race announcement: “Our compostable ponchos go in the GREEN bins. Other items go in the GRAY trash bins.” (2) Brief visual sort at staging area: volunteer team removes obvious contaminants (recognizable by color/material — the branded compostable poncho has a distinctive metallic + earth-tone appearance vs. clear PE or black garbage bags). (3) Communicate to composting facility: “compost stream may contain 5–15% contamination; manual pre-sort completed.”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Transport to Facility</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Compostable collection bags (BPI-certified compost liners) inside each bin — the bag and contents go directly to the composting facility. (2) Transport within 24 hours of collection (wet ponchos + organic material begin odor quickly). (3) Typical cost: $200–$500 per race for pickup and processing by composting facility (comparable to or less than landfill tipping fees for the equivalent volume).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Documentation &amp; Impact Reporting</w:t>
            </w:r>
          </w:p>
        </w:tc>
        <w:tc>
          <w:tcPr>
            <w:tcW w:type="dxa" w:w="7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Weigh all collected compostable ponchos before transport (“Total lbs diverted from landfill”). (2) Count units collected vs. units distributed (“Collection rate %”). (3) Request composting facility provide a “Compost Certificate” or letter confirming receipt and processing. (4) Provide race director with impact report within 7 days: “At [Race Name] 2026, [X] compostable ponchos were collected and composted, diverting [Y] lbs from landfill.” This report becomes a PR asset for the race and a reorder justification for the race director.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Facility Finder</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Municipal composting facilities database: findacomposter.com (Composting Council). Search by ZIP code. Filter for facilities accepting “compostable serviceware” or “BPI-certified products.” If no facility within 50 miles: contact local waste hauler (Republic Services, Waste Management) — many operate regional composting programs not listed publicly.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Fallback: No Composting Available</w:t>
            </w:r>
          </w:p>
        </w:tc>
        <w:tc>
          <w:tcPr>
            <w:tcW w:type="dxa" w:w="7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the race venue has no accessible composting facility: (1) Collect ponchos separately (still diverts from mixed waste). (2) Store in compostable bags and transport to nearest composting facility (up to 100 miles is practical for a one-time post-race hauling). (3) If truly no composting option: product goes to landfill. This is NOT ideal but still better than LDPE/PE products because the poncho’s plant-based materials have lower embodied carbon. Be transparent: “We always recommend composting. Where composting isn’t available, the poncho’s plant-based materials have a lower environmental footprint than petroleum-based alternatives.”</w:t>
            </w:r>
          </w:p>
        </w:tc>
      </w:tr>
    </w:tbl>
    <w:p>
      <w:pPr>
        <w:spacing w:before="200"/>
      </w:pPr>
    </w:p>
    <w:p>
      <w:pPr>
        <w:pStyle w:val="Heading2"/>
        <w:spacing w:before="280" w:after="160"/>
      </w:pPr>
      <w:r>
        <w:rPr>
          <w:rFonts w:ascii="Arial" w:cs="Arial" w:eastAsia="Arial" w:hAnsi="Arial"/>
        </w:rPr>
        <w:t xml:space="preserve">8.1 Cost Comparison: Composting vs. Landfill</w:t>
      </w:r>
    </w:p>
    <w:p>
      <w:pPr>
        <w:spacing w:after="160"/>
      </w:pPr>
      <w:r>
        <w:rPr>
          <w:rFonts w:ascii="Arial" w:cs="Arial" w:eastAsia="Arial" w:hAnsi="Arial"/>
          <w:b w:val="false"/>
          <w:bCs w:val="false"/>
          <w:i w:val="false"/>
          <w:iCs w:val="false"/>
          <w:color w:val="000000"/>
          <w:sz w:val="22"/>
          <w:szCs w:val="22"/>
        </w:rPr>
        <w:t xml:space="preserve">Landfill tipping fees (national average 2025): $55–$65/ton. Composting processing fees: $40–$80/ton (comparable or slightly higher). Transportation: roughly equal for same distance. NET COST DIFFERENCE: composting is approximately cost-neutral vs. landfill for most race venues. The race director is NOT paying more — they are simply redirecting waste from one processing stream to another. This is a critical objection-handling point for B2B sales.</w:t>
      </w:r>
    </w:p>
    <w:p>
      <w:pPr>
        <w:pStyle w:val="Heading2"/>
        <w:spacing w:before="280" w:after="160"/>
      </w:pPr>
      <w:r>
        <w:rPr>
          <w:rFonts w:ascii="Arial" w:cs="Arial" w:eastAsia="Arial" w:hAnsi="Arial"/>
        </w:rPr>
        <w:t xml:space="preserve">8.2 Composting Facility Partnerships</w:t>
      </w:r>
    </w:p>
    <w:p>
      <w:pPr>
        <w:spacing w:after="160"/>
      </w:pPr>
      <w:r>
        <w:rPr>
          <w:rFonts w:ascii="Arial" w:cs="Arial" w:eastAsia="Arial" w:hAnsi="Arial"/>
          <w:b w:val="false"/>
          <w:bCs w:val="false"/>
          <w:i w:val="false"/>
          <w:iCs w:val="false"/>
          <w:color w:val="000000"/>
          <w:sz w:val="22"/>
          <w:szCs w:val="22"/>
        </w:rPr>
        <w:t xml:space="preserve">Approach composting facilities as PARTNERS, not vendors. Composting facilities want high-quality, low-contamination feedstock. A bulk delivery of 5,000–10,000 certified compostable ponchos from a single race is an attractive, predictable input for a composting facility. Propose: (1) Name them as “Official Composting Partner” of the race (marketing value for the facility). (2) Provide BPI certificates and material composition data upfront (reduces their verification burden). (3) Agree to pre-sort at race venue (reduces contamination in their feedstock). (4) Provide race-day composting photos for their marketing (composting facilities increasingly need public-facing sustainability content).</w:t>
      </w:r>
    </w:p>
    <w:p>
      <w:pPr>
        <w:pStyle w:val="Heading2"/>
        <w:spacing w:before="280" w:after="160"/>
      </w:pPr>
      <w:r>
        <w:rPr>
          <w:rFonts w:ascii="Arial" w:cs="Arial" w:eastAsia="Arial" w:hAnsi="Arial"/>
        </w:rPr>
        <w:t xml:space="preserve">8.3 Disposal Guidance for Runners Without Composting Access</w:t>
      </w:r>
    </w:p>
    <w:p>
      <w:pPr>
        <w:spacing w:after="160"/>
      </w:pPr>
      <w:r>
        <w:rPr>
          <w:rFonts w:ascii="Arial" w:cs="Arial" w:eastAsia="Arial" w:hAnsi="Arial"/>
          <w:b/>
          <w:bCs/>
          <w:i w:val="false"/>
          <w:iCs w:val="false"/>
          <w:color w:val="2E7D32"/>
          <w:sz w:val="22"/>
          <w:szCs w:val="22"/>
        </w:rPr>
        <w:t xml:space="preserve">[GAP P2-16 CLOSED] </w:t>
      </w:r>
      <w:r>
        <w:rPr>
          <w:rFonts w:ascii="Arial" w:cs="Arial" w:eastAsia="Arial" w:hAnsi="Arial"/>
          <w:b w:val="false"/>
          <w:bCs w:val="false"/>
          <w:i w:val="false"/>
          <w:iCs w:val="false"/>
          <w:color w:val="000000"/>
          <w:sz w:val="22"/>
          <w:szCs w:val="22"/>
        </w:rPr>
        <w:t xml:space="preserve">The majority of US households lack curbside composting access. Only ~6% of Americans have municipal curbside organics collection. A runner in Dallas, Houston, Phoenix, or Atlanta who buys the poncho will likely not have access to a composting facility. If the product messaging implies composting is easy and universally available, these runners feel misled — generating negative reviews and undermining the sustainability narrative. This section establishes honest disposal messaging for the real-world majority case.</w:t>
      </w:r>
    </w:p>
    <w:p>
      <w:pPr>
        <w:spacing w:after="160"/>
      </w:pPr>
      <w:r>
        <w:rPr>
          <w:rFonts w:ascii="Arial" w:cs="Arial" w:eastAsia="Arial" w:hAnsi="Arial"/>
          <w:b w:val="false"/>
          <w:bCs w:val="false"/>
          <w:i w:val="false"/>
          <w:iCs w:val="false"/>
          <w:color w:val="000000"/>
          <w:sz w:val="22"/>
          <w:szCs w:val="22"/>
        </w:rPr>
        <w:t xml:space="preserve">TIER 1 — RACE-DAY COMPOSTING (best case): If the runner uses the poncho at a race that has compost collection bins (per Section 8 logistics guide), drop the poncho in the designated compost bin at the start line. The race’s composting partner handles the rest. This is the IDEAL end-of-life scenario and should be the primary messaging focus: “Drop it in the green bin at your race — it composts.”</w:t>
      </w:r>
    </w:p>
    <w:p>
      <w:pPr>
        <w:spacing w:after="160"/>
      </w:pPr>
      <w:r>
        <w:rPr>
          <w:rFonts w:ascii="Arial" w:cs="Arial" w:eastAsia="Arial" w:hAnsi="Arial"/>
          <w:b w:val="false"/>
          <w:bCs w:val="false"/>
          <w:i w:val="false"/>
          <w:iCs w:val="false"/>
          <w:color w:val="000000"/>
          <w:sz w:val="22"/>
          <w:szCs w:val="22"/>
        </w:rPr>
        <w:t xml:space="preserve">TIER 2 — HOME/LOCAL COMPOSTING: If the runner takes the poncho home and lives in a city with municipal composting (Seattle, San Francisco, Portland, Boulder, NYC, Austin, Denver): place in the green organics bin. Check local composting program requirements — some programs accept BPI-certified compostable products; others do not. Resource: findacomposter.com for nearest facility. The NatureFlex cellulose layer composts readily at home; the PLA spunbond layer requires industrial composting temperatures. For home composting: cut the poncho into small pieces (increases surface area and speeds decomposition) and add to an active, well-managed hot compost pile. Timeline: 6–12 months for full decomposition in home composting (longer than industrial).</w:t>
      </w:r>
    </w:p>
    <w:p>
      <w:pPr>
        <w:spacing w:after="160"/>
      </w:pPr>
      <w:r>
        <w:rPr>
          <w:rFonts w:ascii="Arial" w:cs="Arial" w:eastAsia="Arial" w:hAnsi="Arial"/>
          <w:b w:val="false"/>
          <w:bCs w:val="false"/>
          <w:i w:val="false"/>
          <w:iCs w:val="false"/>
          <w:color w:val="000000"/>
          <w:sz w:val="22"/>
          <w:szCs w:val="22"/>
        </w:rPr>
        <w:t xml:space="preserve">TIER 3 — COMPOSTING-BY-MAIL (emerging option): Services like ShareWaste (sharewaste.com, connects to local composters), community garden drop-off programs, and farmer’s market composting bins offer alternatives for runners without curbside composting. Additionally, evaluate partnership with a composting-by-mail service for V2: runner mails used poncho in a pre-addressed compostable mailer to a centralized composting facility. Feasibility: technically simple (poncho weighs &lt;5 oz, fits in a standard mailer). Cost: $3–5 per shipment (runner pays or subsidized by brand). This could be a powerful brand differentiator: “No composting near you? Mail it back to us. We’ll compost it.” Evaluate for V2 based on demand volume and operational feasibility.</w:t>
      </w:r>
    </w:p>
    <w:p>
      <w:pPr>
        <w:spacing w:after="160"/>
      </w:pPr>
      <w:r>
        <w:rPr>
          <w:rFonts w:ascii="Arial" w:cs="Arial" w:eastAsia="Arial" w:hAnsi="Arial"/>
          <w:b w:val="false"/>
          <w:bCs w:val="false"/>
          <w:i w:val="false"/>
          <w:iCs w:val="false"/>
          <w:color w:val="000000"/>
          <w:sz w:val="22"/>
          <w:szCs w:val="22"/>
        </w:rPr>
        <w:t xml:space="preserve">TIER 4 — LANDFILL (realistic fallback): If no composting option is available, the poncho goes in regular trash and ends up in landfill. Be honest about what this means: PLA is stable in landfill conditions (≤20–30°C, anaerobic, low moisture) and will NOT decompose meaningfully for decades. The cellulose layer will slowly degrade. The aluminum metallization is inert. However, even in landfill, the poncho has a lower environmental footprint than the LDPE alternative because: (A) the raw materials are plant-based (renewable carbon, not fossil carbon), (B) production generates approximately 30–60% less fossil CO₂ (pending LCA per Section 7), and (C) no persistent microplastics are generated from the PLA or cellulose components.</w:t>
      </w:r>
    </w:p>
    <w:p>
      <w:pPr>
        <w:spacing w:after="160"/>
      </w:pPr>
      <w:r>
        <w:rPr>
          <w:rFonts w:ascii="Arial" w:cs="Arial" w:eastAsia="Arial" w:hAnsi="Arial"/>
          <w:b w:val="false"/>
          <w:bCs w:val="false"/>
          <w:i w:val="false"/>
          <w:iCs w:val="false"/>
          <w:color w:val="000000"/>
          <w:sz w:val="22"/>
          <w:szCs w:val="22"/>
        </w:rPr>
        <w:t xml:space="preserve">MESSAGING FOR PRODUCT LISTING, FAQ, AND PACKAGING: “For best results, compost at your race’s collection bins or at a local composting facility. Find composting near you at findacomposter.com. No composting available? This poncho’s plant-based materials have a lower environmental footprint than petroleum-based alternatives, even in regular trash.” This message is honest, specific, and avoids implying universal composting access. Add to: Amazon product description, Shopify product page FAQ, packaging card (P1B Section 6), and brand.com/scan landing page. Also add to the P2D composting logistics guide Section 8 fallback (already partially present — this expands and formalizes it).</w:t>
      </w:r>
    </w:p>
    <w:p>
      <w:r>
        <w:br w:type="page"/>
      </w:r>
    </w:p>
    <w:p>
      <w:pPr>
        <w:pStyle w:val="Heading1"/>
        <w:spacing w:before="360" w:after="200"/>
      </w:pPr>
      <w:r>
        <w:rPr>
          <w:rFonts w:ascii="Arial" w:cs="Arial" w:eastAsia="Arial" w:hAnsi="Arial"/>
        </w:rPr>
        <w:t xml:space="preserve">9. Timeline: Certification Sprint</w:t>
      </w:r>
    </w:p>
    <w:p>
      <w:pPr>
        <w:spacing w:after="160"/>
      </w:pPr>
      <w:r>
        <w:rPr>
          <w:rFonts w:ascii="Arial" w:cs="Arial" w:eastAsia="Arial" w:hAnsi="Arial"/>
          <w:b/>
          <w:bCs/>
          <w:i w:val="false"/>
          <w:iCs w:val="false"/>
          <w:color w:val="000000"/>
          <w:sz w:val="22"/>
          <w:szCs w:val="22"/>
        </w:rPr>
        <w:t xml:space="preserve">WEEK 8–9: Select lab (Normec OWS recommended). Contact lab for test scheme proposal. Prepare ingredient disclosure package (all components, weights, supplier TDS, existing cert numbers). Begin shelf life sample storage (4 conditions × 20 samples each = 80 samples).</w:t>
      </w:r>
    </w:p>
    <w:p>
      <w:pPr>
        <w:spacing w:after="160"/>
      </w:pPr>
      <w:r>
        <w:rPr>
          <w:rFonts w:ascii="Arial" w:cs="Arial" w:eastAsia="Arial" w:hAnsi="Arial"/>
          <w:b/>
          <w:bCs/>
          <w:i w:val="false"/>
          <w:iCs w:val="false"/>
          <w:color w:val="000000"/>
          <w:sz w:val="22"/>
          <w:szCs w:val="22"/>
        </w:rPr>
        <w:t xml:space="preserve">WEEK 10: Submit 20 production-representative samples to lab. Pay lab deposit ($3,000–$7,500). Lab begins ASTM D6400 testing (biodegradation + disintegration + ecotoxicity + heavy metals).</w:t>
      </w:r>
    </w:p>
    <w:p>
      <w:pPr>
        <w:spacing w:after="160"/>
      </w:pPr>
      <w:r>
        <w:rPr>
          <w:rFonts w:ascii="Arial" w:cs="Arial" w:eastAsia="Arial" w:hAnsi="Arial"/>
          <w:b/>
          <w:bCs/>
          <w:i w:val="false"/>
          <w:iCs w:val="false"/>
          <w:color w:val="000000"/>
          <w:sz w:val="22"/>
          <w:szCs w:val="22"/>
        </w:rPr>
        <w:t xml:space="preserve">WEEK 12–14: Lab completes disintegration test (12-week timeline per ASTM D6400). Biodegradation test continues (180-day timeline). File BPI application with partial lab data (BPI can begin review while biodegradation test completes).</w:t>
      </w:r>
    </w:p>
    <w:p>
      <w:pPr>
        <w:spacing w:after="160"/>
      </w:pPr>
      <w:r>
        <w:rPr>
          <w:rFonts w:ascii="Arial" w:cs="Arial" w:eastAsia="Arial" w:hAnsi="Arial"/>
          <w:b/>
          <w:bCs/>
          <w:i w:val="false"/>
          <w:iCs w:val="false"/>
          <w:color w:val="000000"/>
          <w:sz w:val="22"/>
          <w:szCs w:val="22"/>
        </w:rPr>
        <w:t xml:space="preserve">MONTH 6: Biodegradation test complete. Lab issues final report. BPI completes review. If all criteria met: BPI CERTIFICATE ISSUED. Begin using BPI Certification Mark on all product and marketing materials. Update Amazon listing, Shopify, B2B data sheet, packaging.</w:t>
      </w:r>
    </w:p>
    <w:p>
      <w:pPr>
        <w:spacing w:after="160"/>
      </w:pPr>
      <w:r>
        <w:rPr>
          <w:rFonts w:ascii="Arial" w:cs="Arial" w:eastAsia="Arial" w:hAnsi="Arial"/>
          <w:b/>
          <w:bCs/>
          <w:i w:val="false"/>
          <w:iCs w:val="false"/>
          <w:color w:val="000000"/>
          <w:sz w:val="22"/>
          <w:szCs w:val="22"/>
        </w:rPr>
        <w:t xml:space="preserve">MONTH 6–12: Initiate BPI HOME certification (NF T 51-800) if PLA spunbond passes ambient-temperature testing. Initiate shelf life Month 6 checkpoint. Begin EU certification process (TÜV or DIN CERTCO) if Year 2 international expansion is confirmed.</w:t>
      </w:r>
    </w:p>
    <w:p>
      <w:pPr>
        <w:spacing w:after="160"/>
      </w:pPr>
      <w:r>
        <w:rPr>
          <w:rFonts w:ascii="Arial" w:cs="Arial" w:eastAsia="Arial" w:hAnsi="Arial"/>
          <w:b w:val="false"/>
          <w:bCs w:val="false"/>
          <w:i w:val="false"/>
          <w:iCs w:val="false"/>
          <w:color w:val="000000"/>
          <w:sz w:val="22"/>
          <w:szCs w:val="22"/>
        </w:rPr>
        <w:t xml:space="preserve">Budget summary: Lab testing ($7,500–$25,000) + BPI application fee ($3,000–$5,000) + shelf life testing equipment ($200–$500) + composting guide design ($0 DIY or $300–$500 freelance). TOTAL P2D: $11,000–$31,000.</w:t>
      </w:r>
    </w:p>
    <w:p>
      <w:r>
        <w:br w:type="page"/>
      </w:r>
    </w:p>
    <w:p>
      <w:pPr>
        <w:pStyle w:val="Heading1"/>
        <w:spacing w:before="360" w:after="200"/>
      </w:pPr>
      <w:r>
        <w:rPr>
          <w:rFonts w:ascii="Arial" w:cs="Arial" w:eastAsia="Arial" w:hAnsi="Arial"/>
        </w:rPr>
        <w:t xml:space="preserve">10. Conclusion: Certification Is the Competitive Moat</w:t>
      </w:r>
    </w:p>
    <w:p>
      <w:pPr>
        <w:spacing w:after="160"/>
      </w:pPr>
      <w:r>
        <w:rPr>
          <w:rFonts w:ascii="Arial" w:cs="Arial" w:eastAsia="Arial" w:hAnsi="Arial"/>
          <w:b/>
          <w:bCs/>
          <w:i w:val="false"/>
          <w:iCs w:val="false"/>
          <w:color w:val="000000"/>
          <w:sz w:val="22"/>
          <w:szCs w:val="22"/>
        </w:rPr>
        <w:t xml:space="preserve">Any company can claim “compostable.” Only a BPI-certified company can prove it. </w:t>
      </w:r>
      <w:r>
        <w:rPr>
          <w:rFonts w:ascii="Arial" w:cs="Arial" w:eastAsia="Arial" w:hAnsi="Arial"/>
          <w:b w:val="false"/>
          <w:bCs w:val="false"/>
          <w:i w:val="false"/>
          <w:iCs w:val="false"/>
          <w:color w:val="000000"/>
          <w:sz w:val="22"/>
          <w:szCs w:val="22"/>
        </w:rPr>
        <w:t xml:space="preserve">In a market where 70% of “biodegradable” claims fail under scrutiny, third-party certification is the brand’s most powerful competitive differentiator. It protects against greenwashing accusations, satisfies FTC requirements, wins race director trust (they can share the BPI cert with their sustainability committees), and justifies the $9.99 price premium over a $0.00 garbage bag.</w:t>
      </w:r>
    </w:p>
    <w:p>
      <w:pPr>
        <w:spacing w:after="160"/>
      </w:pPr>
      <w:r>
        <w:rPr>
          <w:rFonts w:ascii="Arial" w:cs="Arial" w:eastAsia="Arial" w:hAnsi="Arial"/>
          <w:b/>
          <w:bCs/>
          <w:i w:val="false"/>
          <w:iCs w:val="false"/>
          <w:color w:val="000000"/>
          <w:sz w:val="22"/>
          <w:szCs w:val="22"/>
        </w:rPr>
        <w:t xml:space="preserve">The composting logistics guide closes the sale. </w:t>
      </w:r>
      <w:r>
        <w:rPr>
          <w:rFonts w:ascii="Arial" w:cs="Arial" w:eastAsia="Arial" w:hAnsi="Arial"/>
          <w:b w:val="false"/>
          <w:bCs w:val="false"/>
          <w:i w:val="false"/>
          <w:iCs w:val="false"/>
          <w:color w:val="000000"/>
          <w:sz w:val="22"/>
          <w:szCs w:val="22"/>
        </w:rPr>
        <w:t xml:space="preserve">A race director who sees the BPI cert says “I believe it composts.” A race director who sees the BPI cert AND a step-by-step logistics guide says “I can make composting happen at my race.” The cert removes doubt. The guide removes friction. Together, they convert interest into purchase orders.</w:t>
      </w:r>
    </w:p>
    <w:p>
      <w:pPr>
        <w:spacing w:after="160"/>
      </w:pPr>
      <w:r>
        <w:rPr>
          <w:rFonts w:ascii="Arial" w:cs="Arial" w:eastAsia="Arial" w:hAnsi="Arial"/>
          <w:b/>
          <w:bCs/>
          <w:i w:val="false"/>
          <w:iCs w:val="false"/>
          <w:color w:val="000000"/>
          <w:sz w:val="22"/>
          <w:szCs w:val="22"/>
        </w:rPr>
        <w:t xml:space="preserve">Start certification immediately. </w:t>
      </w:r>
      <w:r>
        <w:rPr>
          <w:rFonts w:ascii="Arial" w:cs="Arial" w:eastAsia="Arial" w:hAnsi="Arial"/>
          <w:b w:val="false"/>
          <w:bCs w:val="false"/>
          <w:i w:val="false"/>
          <w:iCs w:val="false"/>
          <w:color w:val="000000"/>
          <w:sz w:val="22"/>
          <w:szCs w:val="22"/>
        </w:rPr>
        <w:t xml:space="preserve">The 6–12 month timeline means the product can soft-launch in Fall 2026 using component certifications (“made from BPI-certified materials”) and achieve full product BPI certification by Spring 2027 — perfectly timed for the heavy marathon season (March–May). Do not delay. Every month of delay is a month of marketing with asterisks instead of certification marks.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2026-03-20T09:29:54.323Z</dcterms:created>
  <dcterms:modified xsi:type="dcterms:W3CDTF">2026-03-20T09:29:54.324Z</dcterms:modified>
</cp:coreProperties>
</file>

<file path=docProps/custom.xml><?xml version="1.0" encoding="utf-8"?>
<Properties xmlns="http://schemas.openxmlformats.org/officeDocument/2006/custom-properties" xmlns:vt="http://schemas.openxmlformats.org/officeDocument/2006/docPropsVTypes"/>
</file>