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P8C: TAX &amp;</w:t>
      </w:r>
    </w:p>
    <w:p>
      <w:pPr>
        <w:spacing w:after="200"/>
        <w:jc w:val="center"/>
      </w:pPr>
      <w:r>
        <w:rPr>
          <w:rFonts w:ascii="Arial" w:cs="Arial" w:eastAsia="Arial" w:hAnsi="Arial"/>
          <w:b/>
          <w:bCs/>
          <w:color w:val="1B3A6B"/>
          <w:sz w:val="44"/>
          <w:szCs w:val="44"/>
        </w:rPr>
        <w:t xml:space="preserve">COMPLIANCE</w:t>
      </w:r>
    </w:p>
    <w:p>
      <w:pPr>
        <w:pBdr>
          <w:bottom w:val="single" w:color="2E5090" w:sz="6" w:space="12"/>
        </w:pBdr>
        <w:spacing w:after="100"/>
        <w:jc w:val="center"/>
      </w:pPr>
      <w:r>
        <w:rPr>
          <w:rFonts w:ascii="Arial" w:cs="Arial" w:eastAsia="Arial" w:hAnsi="Arial"/>
          <w:color w:val="666666"/>
          <w:sz w:val="24"/>
          <w:szCs w:val="24"/>
        </w:rPr>
        <w:t xml:space="preserve">Sub-Project P8C  |  Financial Operations  |  Weeks 1–Ongoing</w:t>
      </w:r>
    </w:p>
    <w:p>
      <w:pPr>
        <w:spacing w:before="400"/>
        <w:jc w:val="center"/>
      </w:pPr>
      <w:r>
        <w:rPr>
          <w:rFonts w:ascii="Arial" w:cs="Arial" w:eastAsia="Arial" w:hAnsi="Arial"/>
          <w:i/>
          <w:iCs/>
          <w:color w:val="888888"/>
          <w:sz w:val="22"/>
          <w:szCs w:val="22"/>
        </w:rPr>
        <w:t xml:space="preserve">Complete Tax &amp; Compliance Guide: Multi-State Sales Tax Registration, Quarterly Estimated Tax Payments, 8-Category Deductible Expense Tracking, R&amp;D Tax Credit Analysis, Year 1 Tax Filing Preparation, and Import Duty Optimization</w:t>
      </w:r>
    </w:p>
    <w:p>
      <w:pPr>
        <w:spacing w:before="600"/>
        <w:jc w:val="center"/>
      </w:pPr>
      <w:r>
        <w:rPr>
          <w:rFonts w:ascii="Arial" w:cs="Arial" w:eastAsia="Arial" w:hAnsi="Arial"/>
          <w:color w:val="888888"/>
          <w:sz w:val="22"/>
          <w:szCs w:val="22"/>
        </w:rPr>
        <w:t xml:space="preserve">March 2026  |  Confidential  |  NOT LEGAL OR TAX ADVICE — Consult a CPA</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Tax compliance is not optional, not deferrable, and not negotiable. </w:t>
      </w:r>
      <w:r>
        <w:rPr>
          <w:rFonts w:ascii="Arial" w:cs="Arial" w:eastAsia="Arial" w:hAnsi="Arial"/>
          <w:b w:val="false"/>
          <w:bCs w:val="false"/>
          <w:i w:val="false"/>
          <w:iCs w:val="false"/>
          <w:color w:val="000000"/>
          <w:sz w:val="22"/>
          <w:szCs w:val="22"/>
        </w:rPr>
        <w:t xml:space="preserve">A business that generates revenue without collecting and remitting sales tax, without paying estimated income tax, and without tracking deductible expenses creates: financial penalties (5–25% of unpaid tax + interest), legal liability (personal liability for the founder in most states), and investor red flags (no serious investor funds a business with unresolved tax issues). This document ensures the founder understands and executes: what taxes to collect, when to pay them, what expenses to deduct, and how to optimize the tax position through credits and import duty strategies.</w:t>
      </w:r>
    </w:p>
    <w:p>
      <w:pPr>
        <w:spacing w:after="160"/>
      </w:pPr>
      <w:r>
        <w:rPr>
          <w:rFonts w:ascii="Arial" w:cs="Arial" w:eastAsia="Arial" w:hAnsi="Arial"/>
          <w:b/>
          <w:bCs/>
          <w:i w:val="false"/>
          <w:iCs w:val="false"/>
          <w:color w:val="CC0000"/>
          <w:sz w:val="22"/>
          <w:szCs w:val="22"/>
        </w:rPr>
        <w:t xml:space="preserve">IMPORTANT DISCLAIMER: </w:t>
      </w:r>
      <w:r>
        <w:rPr>
          <w:rFonts w:ascii="Arial" w:cs="Arial" w:eastAsia="Arial" w:hAnsi="Arial"/>
          <w:b w:val="false"/>
          <w:bCs w:val="false"/>
          <w:i/>
          <w:iCs/>
          <w:color w:val="000000"/>
          <w:sz w:val="22"/>
          <w:szCs w:val="22"/>
        </w:rPr>
        <w:t xml:space="preserve">This document provides general educational information about business tax obligations. It is NOT legal or tax advice and should not be relied upon as such. Tax laws are complex, change frequently, and vary by jurisdiction. The founder should engage a qualified CPA or tax professional for all tax planning, preparation, and filing decisions. The information below is a starting framework for discussion with a CPA, not a substitute for professional advice.</w:t>
      </w:r>
    </w:p>
    <w:p>
      <w:r>
        <w:br w:type="page"/>
      </w:r>
    </w:p>
    <w:p>
      <w:pPr>
        <w:pStyle w:val="Heading1"/>
        <w:spacing w:before="360" w:after="200"/>
      </w:pPr>
      <w:r>
        <w:rPr>
          <w:rFonts w:ascii="Arial" w:cs="Arial" w:eastAsia="Arial" w:hAnsi="Arial"/>
        </w:rPr>
        <w:t xml:space="preserve">1. Sales Tax Registration &amp; Collection</w:t>
      </w:r>
    </w:p>
    <w:p>
      <w:pPr>
        <w:spacing w:after="160"/>
      </w:pPr>
      <w:r>
        <w:rPr>
          <w:rFonts w:ascii="Arial" w:cs="Arial" w:eastAsia="Arial" w:hAnsi="Arial"/>
          <w:b/>
          <w:bCs/>
          <w:i w:val="false"/>
          <w:iCs w:val="false"/>
          <w:color w:val="000000"/>
          <w:sz w:val="22"/>
          <w:szCs w:val="22"/>
        </w:rPr>
        <w:t xml:space="preserve">Sales tax is collected from the CUSTOMER at the point of sale and remitted to the STATE. </w:t>
      </w:r>
      <w:r>
        <w:rPr>
          <w:rFonts w:ascii="Arial" w:cs="Arial" w:eastAsia="Arial" w:hAnsi="Arial"/>
          <w:b w:val="false"/>
          <w:bCs w:val="false"/>
          <w:i w:val="false"/>
          <w:iCs w:val="false"/>
          <w:color w:val="000000"/>
          <w:sz w:val="22"/>
          <w:szCs w:val="22"/>
        </w:rPr>
        <w:t xml:space="preserve">The business is a collection agent, not the taxpayer. Failure to collect means: the business owes the tax from its own pocket (it cannot go back to customers and retroactively charge them). Sales tax obligations are triggered by “nexus” — a sufficient connection between the business and a state.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Marketplace Facilitator laws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collects and remits sales tax on behalf of sellers in ALL states with sales tax (45 states + DC). The seller does NOT need to register separately for sales tax in states where Amazon is the only sales channel. Shopify does NOT collect/remit automatically: the seller must configure sales tax collection in Shopify AND register in states where nexus exists.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handles 100% of sales tax compliance for FBA orders. This eliminates the largest sales tax burden for a multi-state seller. Shopify requires: manual registration in nexus states + configuration in Shopify + filing returns.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Economic nexus thresholds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Most states: $100,000 in sales OR 200 transactions in the state within a calendar year. Some states have lower thresholds (e.g., Pennsylvania: $100K only). FBA inventory storage creates PHYSICAL nexus in states where Amazon warehouses are located (Amazon stores inventory across multiple states). This means: the brand may have nexus in 10–20+ states from Day 1 due to FBA inventory placement, even with $0 in Shopify sales in those states.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Shopify sales: the founder must determine nexus state by state. For Amazon sales: Amazon handles it. The FBA nexus issue is critical: having inventory in an Amazon warehouse in Texas creates nexus in Texas for ALL sales channels (including Shopify direct sales to Texas customers).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Registration process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each state where nexus exists: (1) register for a sales tax permit on the state’s Department of Revenue website (free in most states). (2) Enter the state’s sales tax rate in Shopify (Settings → Taxes → United States → add state). Shopify uses Avalara’s tax engine to calculate the correct rate (state + county + city + special district). (3) File sales tax returns per the state’s schedule (monthly, quarterly, or annually depending on volume).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 with the FOUNDER’s HOME STATE (registration required regardless of volume) + states where FBA warehouses store inventory. Check Amazon’s FBA Inventory Placement Report (Seller Central → Reports → Fulfillment → Inventory Event Detail) to identify warehouse states.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Filing options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 filing: log into each state’s website, enter total sales + tax collected for the period, submit. Time: 15–30 minutes per state per filing period. At 5–10 states: 1.5–5 hours per period. AUTOMATED filing: TaxJar ($19/month for AutoFile in up to 1 state, $99/month for unlimited states) or Avalara ($50+/month). TaxJar connects to Shopify and Amazon, calculates tax owed, and files returns automatically. RECOMMENDATION: manual filing for the first 6 months (learn the process, verify accuracy). Switch to TaxJar AutoFile at $19–$99/month when filing becomes time-consuming (typically when filing in 5+ states).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NOT ignore sales tax obligations. States impose: penalties (5–25% of unpaid tax), interest (8–18% annually), and potential business license revocation. Registration and filing are straightforward but MUST be done consistently.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sales tax</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sales to race directors may be EXEMPT from sales tax if the race organizer has a resale certificate or tax-exempt status (many race organizations are 501(c)(3) nonprofits). Process: request a completed resale certificate or tax-exempt certificate from the race director BEFORE the first order. Store the certificate on file. Do NOT charge sales tax on exempt orders. If no certificate is provided: charge sales tax per the delivery address’s rate.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Many race organizations are surprised when asked for tax-exempt documentation. Provide clear instructions: “If your organization is tax-exempt, please send us your exemption certificate and we’ll waive sales tax on your order.” This is a CUSTOMER SERVICE moment, not a compliance burden.</w:t>
            </w:r>
          </w:p>
        </w:tc>
      </w:tr>
    </w:tbl>
    <w:p>
      <w:pPr>
        <w:spacing w:before="200"/>
      </w:pPr>
    </w:p>
    <w:p>
      <w:pPr>
        <w:pStyle w:val="Heading2"/>
        <w:spacing w:before="280" w:after="160"/>
      </w:pPr>
      <w:r>
        <w:rPr>
          <w:rFonts w:ascii="Arial" w:cs="Arial" w:eastAsia="Arial" w:hAnsi="Arial"/>
        </w:rPr>
        <w:t xml:space="preserve">1.1 Sales Tax Priority Action Plan</w:t>
      </w:r>
    </w:p>
    <w:p>
      <w:pPr>
        <w:spacing w:after="160"/>
      </w:pPr>
      <w:r>
        <w:rPr>
          <w:rFonts w:ascii="Arial" w:cs="Arial" w:eastAsia="Arial" w:hAnsi="Arial"/>
          <w:b w:val="false"/>
          <w:bCs w:val="false"/>
          <w:i w:val="false"/>
          <w:iCs w:val="false"/>
          <w:color w:val="000000"/>
          <w:sz w:val="22"/>
          <w:szCs w:val="22"/>
        </w:rPr>
        <w:t xml:space="preserve">WEEK 1–2: Register for sales tax in the founder’s HOME STATE (required regardless of volume). WEEK 8–10: After Amazon FBA is set up (P6C): check the FBA Inventory Placement Report to identify which states Amazon stores inventory in. Register for sales tax in each of those states. Configure Shopify to collect tax in registered states (Settings → Taxes → United States → enable per state). MONTH 6: Review actual Shopify sales by state. If any non-registered state exceeds the economic nexus threshold: register in that state and begin collecting. ONGOING: re-check nexus quarterly as sales volume grows and FBA inventory distribution may change. FILING: file sales tax returns per each state’s schedule (typically monthly or quarterly for states with nexus). Consider TaxJar AutoFile ($19–$99/month) when filing in 5+ states.</w:t>
      </w:r>
    </w:p>
    <w:p>
      <w:r>
        <w:br w:type="page"/>
      </w:r>
    </w:p>
    <w:p>
      <w:pPr>
        <w:pStyle w:val="Heading1"/>
        <w:spacing w:before="360" w:after="200"/>
      </w:pPr>
      <w:r>
        <w:rPr>
          <w:rFonts w:ascii="Arial" w:cs="Arial" w:eastAsia="Arial" w:hAnsi="Arial"/>
        </w:rPr>
        <w:t xml:space="preserve">2. Estimated Tax Payments</w:t>
      </w:r>
    </w:p>
    <w:p>
      <w:pPr>
        <w:spacing w:after="160"/>
      </w:pPr>
      <w:r>
        <w:rPr>
          <w:rFonts w:ascii="Arial" w:cs="Arial" w:eastAsia="Arial" w:hAnsi="Arial"/>
          <w:b/>
          <w:bCs/>
          <w:i w:val="false"/>
          <w:iCs w:val="false"/>
          <w:color w:val="000000"/>
          <w:sz w:val="22"/>
          <w:szCs w:val="22"/>
        </w:rPr>
        <w:t xml:space="preserve">The US tax system is pay-as-you-go: income tax is due as income is earned, not at year-end. </w:t>
      </w:r>
      <w:r>
        <w:rPr>
          <w:rFonts w:ascii="Arial" w:cs="Arial" w:eastAsia="Arial" w:hAnsi="Arial"/>
          <w:b w:val="false"/>
          <w:bCs w:val="false"/>
          <w:i w:val="false"/>
          <w:iCs w:val="false"/>
          <w:color w:val="000000"/>
          <w:sz w:val="22"/>
          <w:szCs w:val="22"/>
        </w:rPr>
        <w:t xml:space="preserve">For W-2 employees, the employer withholds tax from each paycheck. For self-employed business owners, there is no employer to withhold — the founder must calculate and pay estimated tax quarterly. Underpayment of estimated tax results in: penalties (currently ~8% annual rate on the underpaid amount) applied at tax filing.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Federal estimated tax</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Self-employed individuals (sole proprietors, single-member LLCs) pay federal estimated tax quarterly via IRS Form 1040-ES. Due dates: April 15, June 15, September 15, January 15 (for the prior year’s Q4). Payment: IRS Direct Pay (irs.gov/payments, free ACH transfer) or EFTPS (Electronic Federal Tax Payment System). Amount: estimated annual tax liability ÷ 4. SAFE HARBOR: if you pay 100% of LAST year’s tax liability in estimated payments (or 110% if AGI &gt;$150K), you avoid penalties — even if this year’s liability is higher.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estimated payments may be $0 if the business operates at a loss (common for Bootstrap scenario per P8A Section 1). If so: no estimated payments required. If Year 1 is profitable: calculate estimated tax by Month 6 and begin payments in Q3.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Self-employment tax</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Self-employed individuals pay BOTH the employee AND employer share of Social Security + Medicare tax: 15.3% on net self-employment income (12.4% Social Security on income up to $168,600 in 2025, 2.9% Medicare on all income). This is IN ADDITION to federal income tax. At $30,000 net business income: self-employment tax = ~$4,239.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Self-employment tax is the most commonly overlooked tax for new business owners. It applies even if federal INCOME tax is $0 (due to deductions). SET ASIDE: 25–30% of net business income for combined income tax + self-employment tax. Transfer this percentage to a dedicated savings account after each month’s P&amp;L review (P8B Section 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State estimated tax</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states with income tax require quarterly estimated payments on a similar schedule to federal. Check the founder’s home state’s Department of Revenue website for: estimated tax requirements, payment schedule, and safe harbor rules. States without income tax (TX, FL, WA, NV, WY, SD, AK, NH, TN): no state estimated payments needed.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State estimated tax requirements vary widely. Some states require estimated payments only above a threshold ($500–$1,000 in estimated liability). The CPA (engaged per P8A Section 7.6) should advise on state-specific requirements during the Year 1 setup.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S-Corp election (Year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the business is structured as an LLC: consider electing S-Corp tax status when net income consistently exceeds $40,000–$50,000/year. S-Corp status allows: the founder to pay themselves a “reasonable salary” and take remaining profit as distributions NOT subject to self-employment tax. Example: $80,000 net income, $40,000 salary, $40,000 distribution. Self-employment tax savings: $40,000 × 15.3% = $6,120/year saved. S-Corp adds: payroll processing requirements ($20–$50/month via Gusto or Justworks) and a separate tax return (Form 1120-S, $500–$1,500 CPA cost). NET SAVINGS: $3,000–$5,000/year at $80K income.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S-Corp election is NOT worth it in Year 1 unless income is clearly &gt;$50K. The added complexity (payroll, separate return) outweighs savings at low income. Revisit with CPA at Month 12 Year 1 review.</w:t>
            </w:r>
          </w:p>
        </w:tc>
      </w:tr>
    </w:tbl>
    <w:p>
      <w:pPr>
        <w:spacing w:before="200"/>
      </w:pPr>
    </w:p>
    <w:p>
      <w:pPr>
        <w:pStyle w:val="Heading2"/>
        <w:spacing w:before="280" w:after="160"/>
      </w:pPr>
      <w:r>
        <w:rPr>
          <w:rFonts w:ascii="Arial" w:cs="Arial" w:eastAsia="Arial" w:hAnsi="Arial"/>
        </w:rPr>
        <w:t xml:space="preserve">2.1 Estimated Tax Payment Calendar</w:t>
      </w:r>
    </w:p>
    <w:p>
      <w:pPr>
        <w:spacing w:after="160"/>
      </w:pPr>
      <w:r>
        <w:rPr>
          <w:rFonts w:ascii="Arial" w:cs="Arial" w:eastAsia="Arial" w:hAnsi="Arial"/>
          <w:b w:val="false"/>
          <w:bCs w:val="false"/>
          <w:i w:val="false"/>
          <w:iCs w:val="false"/>
          <w:color w:val="000000"/>
          <w:sz w:val="22"/>
          <w:szCs w:val="22"/>
        </w:rPr>
        <w:t xml:space="preserve">Q1 (Jan 1–Mar 31): payment due April 15. Q2 (Apr 1–May 31): payment due June 15. Q3 (Jun 1–Aug 31): payment due September 15. Q4 (Sep 1–Dec 31): payment due January 15 of the following year. YEAR 1 APPROACH: if the business operates at a loss through Month 6 (common in Bootstrap scenario): estimated payments for Q1–Q2 may be $0. If fall revenue (Month 7–12) generates profit: make a Q3 and Q4 estimated payment. The safe harbor rule (pay 100% of prior year’s tax liability) protects against penalties — if Year 0 (before business launch) had no self-employment income, the safe harbor for Year 1 is $0 in estimated payments. However: this means the FULL Year 1 tax liability is due at filing (April 15 of the following year). SET ASIDE: 25–30% of net business income each month in a separate savings account earmarked for taxes.</w:t>
      </w:r>
    </w:p>
    <w:p>
      <w:r>
        <w:br w:type="page"/>
      </w:r>
    </w:p>
    <w:p>
      <w:pPr>
        <w:pStyle w:val="Heading1"/>
        <w:spacing w:before="360" w:after="200"/>
      </w:pPr>
      <w:r>
        <w:rPr>
          <w:rFonts w:ascii="Arial" w:cs="Arial" w:eastAsia="Arial" w:hAnsi="Arial"/>
        </w:rPr>
        <w:t xml:space="preserve">3. Deductible Expense Categories: 8 Areas</w:t>
      </w:r>
    </w:p>
    <w:p>
      <w:pPr>
        <w:spacing w:after="160"/>
      </w:pPr>
      <w:r>
        <w:rPr>
          <w:rFonts w:ascii="Arial" w:cs="Arial" w:eastAsia="Arial" w:hAnsi="Arial"/>
          <w:b/>
          <w:bCs/>
          <w:i w:val="false"/>
          <w:iCs w:val="false"/>
          <w:color w:val="000000"/>
          <w:sz w:val="22"/>
          <w:szCs w:val="22"/>
        </w:rPr>
        <w:t xml:space="preserve">Every legitimate business expense reduces taxable income. </w:t>
      </w:r>
      <w:r>
        <w:rPr>
          <w:rFonts w:ascii="Arial" w:cs="Arial" w:eastAsia="Arial" w:hAnsi="Arial"/>
          <w:b w:val="false"/>
          <w:bCs w:val="false"/>
          <w:i w:val="false"/>
          <w:iCs w:val="false"/>
          <w:color w:val="000000"/>
          <w:sz w:val="22"/>
          <w:szCs w:val="22"/>
        </w:rPr>
        <w:t xml:space="preserve">A $1,000 deduction at a 25% effective tax rate saves $250 in taxes. Failing to track and deduct a legitimate expense is equivalent to voluntarily paying $250 MORE in taxes. The 8 categories below cover every expense type relevant to this business. Track EVERY expense from Day 1 — expenses without receipts or documentation are not deductible.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Qualifies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Tracking Method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Manufacturing &amp; inventory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Raw material purchases, factory payments, production samples, packaging materials, quality inspection costs. Note: inventory purchases are NOT immediately deductible as expenses — they become COGS (deductible) only when the inventory is SOLD. Unsold inventory at year-end is an asset on the balance sheet, not a deduction.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every factory invoice, wire transfer confirmation, and freight bill. Store: digital copies in a Google Drive folder organized by month.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Shipping &amp; freight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International freight (ocean, air), customs duties, import broker fees, domestic shipping labels (Pirate Ship, Shopify Shipping), FBA inbound shipping, B2B shipment costs, ambassador kit shipping. ALL shipping costs related to the business are deductible.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every shipping receipt and label cost. Pirate Ship, Shopify, and Amazon provide downloadable transaction histories.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Marketing &amp; advertising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 Ads, Google Ads, Amazon PPC, ambassador product costs, PR distribution fees, expo booth fees, expo travel and lodging, content creation tools (Canva, CapCut), social media tools (Later, Buffer), Helium 10/Ahrefs, email platform (Klaviyo/Mailchimp). Marketing expenses are 100% deductible in the year incurred.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every ad platform billing statement, software subscription charge, and expo receipt. Marketing is typically the LARGEST deductible expense category — thorough tracking directly reduces tax liability.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Software &amp; tools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plan, Amazon Seller fee, domain hosting, Google Workspace, Canva, Klaviyo, Helium 10, Ahrefs, Judge.me/Loox, QuickBooks/Wave (if paid), Zoom, and any other business software subscriptions.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every subscription charge. Set a monthly reminder to review subscriptions and cancel any unused tools. Unused subscriptions are wasted money AND require tracking effort.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Home office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founder works from home: deduct a portion of rent/mortgage interest, utilities, internet, and renter’s/homeowner’s insurance based on the PERCENTAGE of the home used exclusively for business. Two methods: Simplified method ($5/sq ft, max 300 sq ft = $1,500 max deduction). Regular method: actual expenses × (office sq ft ÷ total home sq ft). The regular method is more complex but often yields a larger deduction for larger offices.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home office must be used EXCLUSIVELY and REGULARLY for business. A desk in the corner of the living room where the founder also watches TV does NOT qualify. A dedicated spare bedroom used only for business DOES qualify. Take a photo of the space for documentation.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Travel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Flights, hotels, rental cars, meals, and transportation for: factory visits (P3A), expo attendance (P5D), race-day pilot execution (P5B), industry events (Running USA Conference, TRE), and investor/partner meetings. Meals: 50% deductible (IRS rules). Transportation: 100% deductible. Lodging: 100% deductible for business nights (personal extension days are not deductible).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every receipt. Use: Expensify ($5/month, receipt scanning + categorization) or take photos of every receipt and store in a Google Drive “Receipts” folder organized by trip. The IRS requires: date, amount, business purpose, and attendees (for meals) for every deductible travel expense.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Professional services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CPA/accountant ($300–$1,000/year), attorney ($500–$2,000 for business formation, trademark filing, contracts per P9), business insurance premiums, any consultants or freelancers hired for: photography, graphic design, writing, or other business services.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every invoice from professionals. Issue Form 1099-NEC to any US-based contractor paid $600+ in the calendar year (QuickBooks/Wave can generate 1099s).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Vehicle expenses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the founder uses a personal vehicle for business: mileage to/from expos, race-day events, post office, shipping pickups, networking events, and factory/supplier visits. Two methods: Standard mileage rate (67 cents/mile for 2024, updated annually by IRS) — simpler. Actual expense method: track gas, insurance, maintenance, depreciation, and multiply by business-use percentage — more complex but may yield higher deduction for high-mileage years.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every business trip with a mileage log (date, destination, purpose, miles). Apps: MileIQ ($5.99/month, auto-tracks mileage via phone GPS) or a simple Google Sheet. Commuting (home to a regular office) is NOT deductible, but a home-based business has no commute — every business trip from home qualifies.</w:t>
            </w:r>
          </w:p>
        </w:tc>
      </w:tr>
    </w:tbl>
    <w:p>
      <w:pPr>
        <w:spacing w:before="200"/>
      </w:pPr>
    </w:p>
    <w:p>
      <w:pPr>
        <w:pStyle w:val="Heading2"/>
        <w:spacing w:before="280" w:after="160"/>
      </w:pPr>
      <w:r>
        <w:rPr>
          <w:rFonts w:ascii="Arial" w:cs="Arial" w:eastAsia="Arial" w:hAnsi="Arial"/>
        </w:rPr>
        <w:t xml:space="preserve">3.1 Expense Tracking System</w:t>
      </w:r>
    </w:p>
    <w:p>
      <w:pPr>
        <w:spacing w:after="160"/>
      </w:pPr>
      <w:r>
        <w:rPr>
          <w:rFonts w:ascii="Arial" w:cs="Arial" w:eastAsia="Arial" w:hAnsi="Arial"/>
          <w:b w:val="false"/>
          <w:bCs w:val="false"/>
          <w:i w:val="false"/>
          <w:iCs w:val="false"/>
          <w:color w:val="000000"/>
          <w:sz w:val="22"/>
          <w:szCs w:val="22"/>
        </w:rPr>
        <w:t xml:space="preserve">REAL-TIME TRACKING: use QuickBooks/Wave for automatic bank feed categorization (per P8A Section 7). RECEIPT CAPTURE: take a photo of every receipt immediately and store in Google Drive (/Business/Receipts/[Year]/[Month]/). Alternatively: Expensify ($5/month) or Dext (formerly Receipt Bank, $20/month) for automated receipt scanning and categorization. MONTHLY RECONCILIATION: during the monthly P&amp;L review (P8B Section 2), verify: all expenses are categorized, all receipts exist for expenses &gt;$75, and no personal expenses are mixed in. YEAR-END: the CPA will request: annual P&amp;L by category, all receipts, home office calculation, mileage log, and 1099 forms issued/received. If tracking is maintained throughout the year: Year-end preparation takes 2–4 hours. If tracking is neglected: Year-end preparation takes 20–40+ hours and deductions are missed.</w:t>
      </w:r>
    </w:p>
    <w:p>
      <w:r>
        <w:br w:type="page"/>
      </w:r>
    </w:p>
    <w:p>
      <w:pPr>
        <w:pStyle w:val="Heading1"/>
        <w:spacing w:before="360" w:after="200"/>
      </w:pPr>
      <w:r>
        <w:rPr>
          <w:rFonts w:ascii="Arial" w:cs="Arial" w:eastAsia="Arial" w:hAnsi="Arial"/>
        </w:rPr>
        <w:t xml:space="preserve">4. R&amp;D Tax Credit</w:t>
      </w:r>
    </w:p>
    <w:p>
      <w:pPr>
        <w:spacing w:after="160"/>
      </w:pPr>
      <w:r>
        <w:rPr>
          <w:rFonts w:ascii="Arial" w:cs="Arial" w:eastAsia="Arial" w:hAnsi="Arial"/>
          <w:b/>
          <w:bCs/>
          <w:i w:val="false"/>
          <w:iCs w:val="false"/>
          <w:color w:val="000000"/>
          <w:sz w:val="22"/>
          <w:szCs w:val="22"/>
        </w:rPr>
        <w:t xml:space="preserve">The R&amp;D tax credit rewards businesses that invest in developing new products and processes. </w:t>
      </w:r>
      <w:r>
        <w:rPr>
          <w:rFonts w:ascii="Arial" w:cs="Arial" w:eastAsia="Arial" w:hAnsi="Arial"/>
          <w:b w:val="false"/>
          <w:bCs w:val="false"/>
          <w:i w:val="false"/>
          <w:iCs w:val="false"/>
          <w:color w:val="000000"/>
          <w:sz w:val="22"/>
          <w:szCs w:val="22"/>
        </w:rPr>
        <w:t xml:space="preserve">The compostable poncho involves: novel material combinations (NatureFlex + PLA spunbond), technical uncertainty about thermal performance, and iterative experimentation (P2A–P2C material testing, P2D certification testing). These activities LIKELY qualify for the R&amp;D credit — but the determination must be made by a qualified CPA or R&amp;D credit specialist.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Eligibility criteria</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R&amp;D tax credit (IRC Section 41) applies to activities that: (1) seek to create new or improved products, processes, or designs (YES: compostable poncho materials, tear-away perforation design, composting logistics process), (2) involve technical uncertainty (YES: will the NatureFlex + PLA lamination provide sufficient warmth? Will the perforation tear at 3–5N consistently?), (3) involve a process of experimentation (YES: material testing, prototype iteration, FLIR thermal testing per P2A–P2C), and (4) rely on hard sciences or engineering (YES: materials science, thermodynamics, mechanical engineering of perforation).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poncho’s development involves GENUINE technical uncertainty and experimentation with novel material combinations. This is exactly the type of product development the R&amp;D credit was designed to incentivize.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Qualifying expenses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Wages paid to employees (or a portion of contractor payments) for time spent on qualifying R&amp;D activities. Supplies consumed during R&amp;D (material samples, prototype materials, testing equipment). Contract research expenses (fees paid to third parties for testing, e.g., BPI certification testing, FLIR thermal testing, material lab analysis). For a solo founder: the founder’s own time spent on R&amp;D is NOT eligible for the credit unless the founder is on a W-2 payroll (S-Corp status). Supplies and contract research ARE eligible regardless of business structure.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qualifying expenses may include: material samples ($100–$500), prototype production ($200–$500), BPI certification testing fees ($2,000–$5,000 per P2D Section 3), FLIR testing ($100–$300), and any other material-science or design-engineering expenses. Total qualifying expenses: $2,400–$6,300.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Credit calculation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simplified method (most common for startups): 14% of qualifying R&amp;D expenses that exceed 50% of the average of the prior 3 years’ qualifying expenses. For a FIRST-YEAR business with no prior history: the credit is 6% of qualifying expenses. At $5,000 in qualifying expenses: credit = $300. At $10,000: credit = $600. Small amounts, but: (A) the credit offsets tax dollar-for-dollar (not just a deduction), and (B) startups can apply up to $250,000 of the R&amp;D credit against PAYROLL TAX (if the business has &lt;$5M in gross receipts and is in its first 5 years).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payroll tax offset is especially valuable for startups that have no income tax liability (operating at a loss in Year 1). The R&amp;D credit can offset: the employer’s share of Social Security tax on payroll. For an S-Corp founder on payroll: this could offset $1,000–$3,000/year in payroll tax.</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Documentation requirements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Maintain: a contemporaneous log of R&amp;D activities (dates, descriptions of work performed, time spent, uncertainties addressed), receipts for all qualifying supplies and contract research, and a narrative description of each R&amp;D project (material development, tear-away design, composting process validation). The CPA should prepare Form 6765 (Credit for Increasing Research Activities) with the Year 1 tax return.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Documentation is the KEY to defending an R&amp;D credit claim in an audit. The IRS has increased scrutiny of R&amp;D credits for small businesses. A well-documented claim with: contemporaneous logs, receipts, and technical narratives is defensible. A retroactively assembled claim without documentation is vulnerable.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CPA guidance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Discuss R&amp;D credit eligibility with the CPA during the Month 10–11 tax preparation engagement (per P8A Section 7.6). Some CPAs specialize in R&amp;D credits; if the founder’s CPA does not, consider: a specialist R&amp;D credit firm (Neo.Tax, $1,000–$3,000 for preparation + filing, or percentage-of-credit-based pricing) for Year 1 to establish the claim methodology, then transition to the regular CPA for subsequent years.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R&amp;D credit is worth pursuing even if the Year 1 amount is modest ($300–$600). Establishing the claim in Year 1 creates: a precedent (easier to continue claiming in future years), documentation habits (logs and records are maintained from the start), and cumulative value (Year 2+ credits grow as R&amp;D spending increases with product line expansion per P2F).</w:t>
            </w:r>
          </w:p>
        </w:tc>
      </w:tr>
    </w:tbl>
    <w:p>
      <w:r>
        <w:br w:type="page"/>
      </w:r>
    </w:p>
    <w:p>
      <w:pPr>
        <w:pStyle w:val="Heading1"/>
        <w:spacing w:before="360" w:after="200"/>
      </w:pPr>
      <w:r>
        <w:rPr>
          <w:rFonts w:ascii="Arial" w:cs="Arial" w:eastAsia="Arial" w:hAnsi="Arial"/>
        </w:rPr>
        <w:t xml:space="preserve">5. Year 1 Tax Filing Preparation</w:t>
      </w:r>
    </w:p>
    <w:p>
      <w:pPr>
        <w:spacing w:after="160"/>
      </w:pPr>
      <w:r>
        <w:rPr>
          <w:rFonts w:ascii="Arial" w:cs="Arial" w:eastAsia="Arial" w:hAnsi="Arial"/>
          <w:b/>
          <w:bCs/>
          <w:i w:val="false"/>
          <w:iCs w:val="false"/>
          <w:color w:val="000000"/>
          <w:sz w:val="22"/>
          <w:szCs w:val="22"/>
        </w:rPr>
        <w:t xml:space="preserve">Tax filing preparation should begin in Month 10–11, not in April. </w:t>
      </w:r>
      <w:r>
        <w:rPr>
          <w:rFonts w:ascii="Arial" w:cs="Arial" w:eastAsia="Arial" w:hAnsi="Arial"/>
          <w:b w:val="false"/>
          <w:bCs w:val="false"/>
          <w:i w:val="false"/>
          <w:iCs w:val="false"/>
          <w:color w:val="000000"/>
          <w:sz w:val="22"/>
          <w:szCs w:val="22"/>
        </w:rPr>
        <w:t xml:space="preserve">A founder who waits until tax season to organize 12 months of financial records will: miss deductions (forgotten expenses without receipts), make errors (rushing through categorization), and pay more in CPA fees (CPAs charge premium rates during tax season for disorganized clients). The 6-step preparation process below ensures: records are clean, deductions are maximized, and the CPA can file efficiently.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Organize income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Export: Shopify annual revenue report, Amazon Seller annual summary (Form 1099-K issued by Amazon if &gt;$600 in sales), B2B invoice summary from QuickBooks/Wave, expo sales summary from Square (Form 1099-K if &gt;$600). Reconcile: total income from all sources matches bank deposits for the year. Resolve: any discrepancies (missing deposits, duplicate entries, returns not credited).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Organize expenses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Export: QuickBooks/Wave annual expense report by category. Verify: all expenses are categorized correctly (per P8A Section 7 chart of accounts). Common misclassifications: personal expenses logged as business, COGS categorized as operating expense, and marketing sub-channels lumped together. Resolve: re-categorize any errors.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Inventory count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Count: total units of unsold inventory (in FBA warehouses, in 3PL/home storage, in transit). Value: at COGS per unit (P8A Section 3). The year-end inventory value is: an asset on the balance sheet, NOT a deductible expense. Only inventory that was SOLD during the year is deductible as COGS. If 5,000 units were purchased and 3,000 were sold: COGS = 3,000 × unit cost. Remaining 2,000 units = inventory asset.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Gather deductions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Compile: all deductible expenses per Section 3 of this document. Verify: receipts exist for every expense &gt;$75 (IRS documentation threshold). Compile: home office measurements + calculation, vehicle mileage log total, and 1099-NEC forms for contractors paid &gt;$600. Identify: any missed deductions (subscriptions paid via personal card, mileage not logged, home office not claimed).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Tax return preparation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Sole proprietor: Schedule C (Profit or Loss from Business) attached to personal Form 1040. LLC (single-member): same as sole proprietor (disregarded entity). LLC (S-Corp election): Form 1120-S (S-Corporation return) + founder’s K-1 on personal 1040. Engage: CPA by Month 10–11 to allow time for: organizing records, identifying optimization opportunities (R&amp;D credit, Section 179 deductions), and filing by the April 15 deadline (or October 15 with extension).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Filing deadlines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Federal: April 15 (personal) or March 15 (S-Corp). Extension: Form 4868 (personal, extends to Oct 15) or Form 7004 (S-Corp, extends to Sep 15). Extensions extend the FILING deadline, NOT the PAYMENT deadline: any estimated tax owed must still be paid by the original deadline to avoid penalties/interest. State: varies (most align with federal deadlines). The CPA handles all filing, but the founder should be aware of deadlines to ensure records are provided in time.</w:t>
            </w:r>
          </w:p>
        </w:tc>
      </w:tr>
    </w:tbl>
    <w:p>
      <w:r>
        <w:br w:type="page"/>
      </w:r>
    </w:p>
    <w:p>
      <w:pPr>
        <w:pStyle w:val="Heading1"/>
        <w:spacing w:before="360" w:after="200"/>
      </w:pPr>
      <w:r>
        <w:rPr>
          <w:rFonts w:ascii="Arial" w:cs="Arial" w:eastAsia="Arial" w:hAnsi="Arial"/>
        </w:rPr>
        <w:t xml:space="preserve">6. Import Duty Optimization</w:t>
      </w:r>
    </w:p>
    <w:p>
      <w:pPr>
        <w:spacing w:after="160"/>
      </w:pPr>
      <w:r>
        <w:rPr>
          <w:rFonts w:ascii="Arial" w:cs="Arial" w:eastAsia="Arial" w:hAnsi="Arial"/>
          <w:b/>
          <w:bCs/>
          <w:i w:val="false"/>
          <w:iCs w:val="false"/>
          <w:color w:val="000000"/>
          <w:sz w:val="22"/>
          <w:szCs w:val="22"/>
        </w:rPr>
        <w:t xml:space="preserve">Import duties are a significant cost for a physical product imported from overseas. </w:t>
      </w:r>
      <w:r>
        <w:rPr>
          <w:rFonts w:ascii="Arial" w:cs="Arial" w:eastAsia="Arial" w:hAnsi="Arial"/>
          <w:b w:val="false"/>
          <w:bCs w:val="false"/>
          <w:i w:val="false"/>
          <w:iCs w:val="false"/>
          <w:color w:val="000000"/>
          <w:sz w:val="22"/>
          <w:szCs w:val="22"/>
        </w:rPr>
        <w:t xml:space="preserve">At 3.4% duty on a $11,500 shipment (10,000 units): duty = $391. At 28.4% (with Section 301 China tariffs): duty = $3,266. The difference ($2,875 per shipment) can be eliminated or reduced through: correct HTS classification, strategic country-of-origin sourcing, and trade agreement utilization. This section identifies the optimization opportunities — implementation requires consultation with a licensed customs broker.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Current classification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HTS 3926.20.9050 (per P4A Section 2): “Articles of apparel and clothing accessories of plastics.” Duty rate: 3.4% ad valorem + potential Section 301 tariff (25% if sourced from China). Total effective duty: 3.4–28.4% depending on country of origin and Section 301 status.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HTS classification determines the duty rate. A different (more favorable) classification could reduce duty significantly. HOWEVER: misclassification is a customs violation with penalties. Any reclassification should be validated by a licensed customs broker.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Alternative HTS classifications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HTS 6210.10 (nonwoven garments): if the poncho qualifies as a “garment of nonwoven fabric” rather than “article of plastics,” the duty rate may differ. HTS 3920 (plates, sheets, and film of plastics): if the poncho is classified as a “plastic film product” rather than an apparel item, the rate may change. HTS 4823 (articles of paper/cellulose): if the NatureFlex cellulose film qualifies as a “cellulose-based article” rather than a plastic, the classification and duty rate could be significantly different.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Consult: the customs broker (per P4A Section 1 forwarder selection) for a binding ruling request to US Customs and Border Protection (CBP). A binding ruling provides: a definitive classification that CBP must honor at import. Cost: $0 (CBP doesn’t charge for binding rulings) but takes 30–90+ days. The customs broker may charge $200–$500 for preparing the request.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Country of origin strategies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sourced from China: Section 301 tariffs (25%) may apply, making total duty 28.4%. MITIGATION: (A) source from a non-Section 301 country (UK via Parkside, per P3A Section 1 — UK products are NOT subject to Section 301). (B) Source from a country with a preferential trade agreement: if manufacturing in a country with a US Free Trade Agreement (Australia, Canada, Mexico, South Korea, etc.), the duty rate may be reduced to 0–2%. (C) Use a Foreign Trade Zone (FTZ): import materials into an FTZ, process/assemble, and re-export or enter the US market with potentially deferred or reduced duties.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UK sourcing option (Parkside) eliminates Section 301 exposure entirely. UK duty rate: 3.4% only (no Section 301). At 10,000 units × $1.15 declared value: duty savings of $2,875 per shipment (25% of $11,500) by sourcing from UK vs. China. This savings may EXCEED the unit cost difference between UK and China manufacturing.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Duty drawback</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any imported ponchos are RE-EXPORTED (e.g., sold to a Canadian race director in Year 2): the import duties paid on those units can be recovered through a “duty drawback” claim. Duty drawback returns up to 99% of duties paid on goods that are subsequently exported. File: CBP Form 7551 within 5 years of import. Volume threshold: drawback is generally worth pursuing when annual duties exceed $2,000–$5,000.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Duty drawback is a YEAR 2+ optimization relevant only if international B2B sales begin per P2F Section 6. Track: import duties paid by shipment for drawback eligibility documentation.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 minimis threshold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Individual shipments valued at $800 or less enter the US duty-free under the de minimis provision (Section 321). This is relevant for: small sample shipments (factory samples, testing materials) but NOT for commercial production orders (which will exceed $800). Use: de minimis entry for all sample and prototype shipments to avoid duty on non-commercial imports.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$800 de minimis is useful during the product development phase (P2A–P2C) when the founder is importing small quantities of material samples and prototypes. No formal customs entry is required for shipments under $800.</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1–2: Register for sales tax in home state. Set up sales tax collection in Shopify for home state. Begin tracking all expenses in QuickBooks/Wave from Day 1.</w:t>
      </w:r>
    </w:p>
    <w:p>
      <w:pPr>
        <w:spacing w:after="160"/>
      </w:pPr>
      <w:r>
        <w:rPr>
          <w:rFonts w:ascii="Arial" w:cs="Arial" w:eastAsia="Arial" w:hAnsi="Arial"/>
          <w:b/>
          <w:bCs/>
          <w:i w:val="false"/>
          <w:iCs w:val="false"/>
          <w:color w:val="000000"/>
          <w:sz w:val="22"/>
          <w:szCs w:val="22"/>
        </w:rPr>
        <w:t xml:space="preserve">WEEK 8–10: After FBA setup: check FBA Inventory Placement Report for warehouse states. Register for sales tax in FBA warehouse states. Configure Shopify for multi-state collection. Set up quarterly estimated tax payment schedule (IRS Direct Pay). Review import duty with customs broker: request binding ruling if alternative HTS classification may reduce duty.</w:t>
      </w:r>
    </w:p>
    <w:p>
      <w:pPr>
        <w:spacing w:after="160"/>
      </w:pPr>
      <w:r>
        <w:rPr>
          <w:rFonts w:ascii="Arial" w:cs="Arial" w:eastAsia="Arial" w:hAnsi="Arial"/>
          <w:b/>
          <w:bCs/>
          <w:i w:val="false"/>
          <w:iCs w:val="false"/>
          <w:color w:val="000000"/>
          <w:sz w:val="22"/>
          <w:szCs w:val="22"/>
        </w:rPr>
        <w:t xml:space="preserve">MONTH 6: Review Shopify sales by state for nexus compliance. Begin estimated tax payments if Year 1 will be profitable. Discuss R&amp;D tax credit eligibility with CPA.</w:t>
      </w:r>
    </w:p>
    <w:p>
      <w:pPr>
        <w:spacing w:after="160"/>
      </w:pPr>
      <w:r>
        <w:rPr>
          <w:rFonts w:ascii="Arial" w:cs="Arial" w:eastAsia="Arial" w:hAnsi="Arial"/>
          <w:b/>
          <w:bCs/>
          <w:i w:val="false"/>
          <w:iCs w:val="false"/>
          <w:color w:val="000000"/>
          <w:sz w:val="22"/>
          <w:szCs w:val="22"/>
        </w:rPr>
        <w:t xml:space="preserve">MONTH 10–11: Engage CPA for Year 1 tax preparation ($300–$1,000). Begin 6-step tax filing preparation (Section 5). Organize: income, expenses, inventory count, deductions, and R&amp;D documentation. Discuss: S-Corp election for Year 2 if income &gt;$50K.</w:t>
      </w:r>
    </w:p>
    <w:p>
      <w:pPr>
        <w:spacing w:after="160"/>
      </w:pPr>
      <w:r>
        <w:rPr>
          <w:rFonts w:ascii="Arial" w:cs="Arial" w:eastAsia="Arial" w:hAnsi="Arial"/>
          <w:b/>
          <w:bCs/>
          <w:i w:val="false"/>
          <w:iCs w:val="false"/>
          <w:color w:val="000000"/>
          <w:sz w:val="22"/>
          <w:szCs w:val="22"/>
        </w:rPr>
        <w:t xml:space="preserve">MONTH 12: Complete Year 1 tax filing preparation. File by April 15 (or extend to October 15 with Form 4868). Pay any remaining tax liability by April 15 to avoid penalties. Set Year 2 estimated payment schedule based on Year 1 actual liability.</w:t>
      </w:r>
    </w:p>
    <w:p>
      <w:pPr>
        <w:spacing w:after="160"/>
      </w:pPr>
      <w:r>
        <w:rPr>
          <w:rFonts w:ascii="Arial" w:cs="Arial" w:eastAsia="Arial" w:hAnsi="Arial"/>
          <w:b w:val="false"/>
          <w:bCs w:val="false"/>
          <w:i w:val="false"/>
          <w:iCs w:val="false"/>
          <w:color w:val="000000"/>
          <w:sz w:val="22"/>
          <w:szCs w:val="22"/>
        </w:rPr>
        <w:t xml:space="preserve">BUDGET: Sales tax registration: $0 (free in most states). TaxJar AutoFile (Month 6+): $19–$99/month. CPA Year 1 tax prep: $300–$1,000. R&amp;D credit specialist (optional): $1,000–$3,000. Customs broker binding ruling: $200–$500. Expensify (optional): $5/month. TOTAL P8C: $500–$4,600 Year 1.</w:t>
      </w:r>
    </w:p>
    <w:p>
      <w:r>
        <w:br w:type="page"/>
      </w:r>
    </w:p>
    <w:p>
      <w:pPr>
        <w:pStyle w:val="Heading1"/>
        <w:spacing w:before="360" w:after="200"/>
      </w:pPr>
      <w:r>
        <w:rPr>
          <w:rFonts w:ascii="Arial" w:cs="Arial" w:eastAsia="Arial" w:hAnsi="Arial"/>
        </w:rPr>
        <w:t xml:space="preserve">8. Conclusion: Taxes Are a Cost of Business, Not a Surprise</w:t>
      </w:r>
    </w:p>
    <w:p>
      <w:pPr>
        <w:spacing w:after="160"/>
      </w:pPr>
      <w:r>
        <w:rPr>
          <w:rFonts w:ascii="Arial" w:cs="Arial" w:eastAsia="Arial" w:hAnsi="Arial"/>
          <w:b/>
          <w:bCs/>
          <w:i w:val="false"/>
          <w:iCs w:val="false"/>
          <w:color w:val="000000"/>
          <w:sz w:val="22"/>
          <w:szCs w:val="22"/>
        </w:rPr>
        <w:t xml:space="preserve">A founder who sets aside 25–30% of net income for taxes, tracks every deductible expense, and files on time will NEVER be surprised by a tax bill. </w:t>
      </w:r>
      <w:r>
        <w:rPr>
          <w:rFonts w:ascii="Arial" w:cs="Arial" w:eastAsia="Arial" w:hAnsi="Arial"/>
          <w:b w:val="false"/>
          <w:bCs w:val="false"/>
          <w:i w:val="false"/>
          <w:iCs w:val="false"/>
          <w:color w:val="000000"/>
          <w:sz w:val="22"/>
          <w:szCs w:val="22"/>
        </w:rPr>
        <w:t xml:space="preserve">The tax obligation is predictable, manageable, and — with proper deduction tracking and credit optimization — often LOWER than expected. The founder who treats taxes as a routine monthly task (30 minutes of expense categorization, a quarterly estimated payment, and an annual CPA engagement) spends far less time and money than the founder who panics in April.</w:t>
      </w:r>
    </w:p>
    <w:p>
      <w:pPr>
        <w:spacing w:after="160"/>
      </w:pPr>
      <w:r>
        <w:rPr>
          <w:rFonts w:ascii="Arial" w:cs="Arial" w:eastAsia="Arial" w:hAnsi="Arial"/>
          <w:b/>
          <w:bCs/>
          <w:i w:val="false"/>
          <w:iCs w:val="false"/>
          <w:color w:val="000000"/>
          <w:sz w:val="22"/>
          <w:szCs w:val="22"/>
        </w:rPr>
        <w:t xml:space="preserve">Engage a CPA early, trust their expertise, and follow their advice. </w:t>
      </w:r>
      <w:r>
        <w:rPr>
          <w:rFonts w:ascii="Arial" w:cs="Arial" w:eastAsia="Arial" w:hAnsi="Arial"/>
          <w:b w:val="false"/>
          <w:bCs w:val="false"/>
          <w:i w:val="false"/>
          <w:iCs w:val="false"/>
          <w:color w:val="000000"/>
          <w:sz w:val="22"/>
          <w:szCs w:val="22"/>
        </w:rPr>
        <w:t xml:space="preserve">The CPA’s fee ($300–$1,000/year) is almost always recovered through: deductions the founder would have missed, credits the founder didn’t know existed, and structural optimization (S-Corp election, home office method selection) that saves thousands per year. The CPA is not an expense — they are an investment with a 3–10× return.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2026-04-01T02:46:15.604Z</dcterms:created>
  <dcterms:modified xsi:type="dcterms:W3CDTF">2026-04-01T02:46:15.605Z</dcterms:modified>
</cp:coreProperties>
</file>

<file path=docProps/custom.xml><?xml version="1.0" encoding="utf-8"?>
<Properties xmlns="http://schemas.openxmlformats.org/officeDocument/2006/custom-properties" xmlns:vt="http://schemas.openxmlformats.org/officeDocument/2006/docPropsVTypes"/>
</file>