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P8D: FINANCIAL</w:t>
      </w:r>
    </w:p>
    <w:p>
      <w:pPr>
        <w:spacing w:after="200"/>
        <w:jc w:val="center"/>
      </w:pPr>
      <w:r>
        <w:rPr>
          <w:rFonts w:ascii="Arial" w:cs="Arial" w:eastAsia="Arial" w:hAnsi="Arial"/>
          <w:b/>
          <w:bCs/>
          <w:color w:val="1B3A6B"/>
          <w:sz w:val="44"/>
          <w:szCs w:val="44"/>
        </w:rPr>
        <w:t xml:space="preserve">DECISION POINTS</w:t>
      </w:r>
    </w:p>
    <w:p>
      <w:pPr>
        <w:pBdr>
          <w:bottom w:val="single" w:color="2E5090" w:sz="6" w:space="12"/>
        </w:pBdr>
        <w:spacing w:after="100"/>
        <w:jc w:val="center"/>
      </w:pPr>
      <w:r>
        <w:rPr>
          <w:rFonts w:ascii="Arial" w:cs="Arial" w:eastAsia="Arial" w:hAnsi="Arial"/>
          <w:color w:val="666666"/>
          <w:sz w:val="24"/>
          <w:szCs w:val="24"/>
        </w:rPr>
        <w:t xml:space="preserve">Sub-Project P8D  |  Financial Operations  |  Months 6–12</w:t>
      </w:r>
    </w:p>
    <w:p>
      <w:pPr>
        <w:spacing w:before="400"/>
        <w:jc w:val="center"/>
      </w:pPr>
      <w:r>
        <w:rPr>
          <w:rFonts w:ascii="Arial" w:cs="Arial" w:eastAsia="Arial" w:hAnsi="Arial"/>
          <w:i/>
          <w:iCs/>
          <w:color w:val="888888"/>
          <w:sz w:val="22"/>
          <w:szCs w:val="22"/>
        </w:rPr>
        <w:t xml:space="preserve">Critical Decision Framework: Month 6 Pipeline Check (7 Metrics), Month 10 Financial Review (6 Metrics), Year 2 Financial Plan (3 Scenarios), Investor Materials Package (5 Components), and Year 1 Complete P&amp;L with Strategic Learnings</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Financial decision gates remove emotion from the biggest decisions a founder makes: whether to invest more, pull back, pivot, or stop. </w:t>
      </w:r>
      <w:r>
        <w:rPr>
          <w:rFonts w:ascii="Arial" w:cs="Arial" w:eastAsia="Arial" w:hAnsi="Arial"/>
          <w:b w:val="false"/>
          <w:bCs w:val="false"/>
          <w:i w:val="false"/>
          <w:iCs w:val="false"/>
          <w:color w:val="000000"/>
          <w:sz w:val="22"/>
          <w:szCs w:val="22"/>
        </w:rPr>
        <w:t xml:space="preserve">Without pre-committed thresholds, the founder makes these decisions under stress, with sunk-cost bias, and with incomplete emotional processing. With pre-committed thresholds, the decision is simple: check the metrics, compare to the gates, and execute the pre-defined response. This document defines: 7 metrics for the Month 6 pipeline check, 6 metrics for the Month 10 financial review, 3 Year 2 financial scenarios, a complete investor materials package, and a Year 1 P&amp;L template with strategic learnings documentation.</w:t>
      </w:r>
    </w:p>
    <w:p>
      <w:pPr>
        <w:spacing w:after="160"/>
      </w:pPr>
      <w:r>
        <w:rPr>
          <w:rFonts w:ascii="Arial" w:cs="Arial" w:eastAsia="Arial" w:hAnsi="Arial"/>
          <w:b/>
          <w:bCs/>
          <w:i w:val="false"/>
          <w:iCs w:val="false"/>
          <w:color w:val="000000"/>
          <w:sz w:val="22"/>
          <w:szCs w:val="22"/>
        </w:rPr>
        <w:t xml:space="preserve">The decision gates follow a traffic-light system: </w:t>
      </w:r>
      <w:r>
        <w:rPr>
          <w:rFonts w:ascii="Arial" w:cs="Arial" w:eastAsia="Arial" w:hAnsi="Arial"/>
          <w:b w:val="false"/>
          <w:bCs w:val="false"/>
          <w:i w:val="false"/>
          <w:iCs w:val="false"/>
          <w:color w:val="000000"/>
          <w:sz w:val="22"/>
          <w:szCs w:val="22"/>
        </w:rPr>
        <w:t xml:space="preserve">GREEN (all/most metrics at threshold) = accelerate. YELLOW (mixed results) = proceed with caution and fix lagging metrics. RED (most metrics below threshold) = pause, diagnose, and evaluate alternatives. The founder should commit to these gates NOW — before Month 6 arrives — and evaluate honestly against them when the time comes.</w:t>
      </w:r>
    </w:p>
    <w:p>
      <w:r>
        <w:br w:type="page"/>
      </w:r>
    </w:p>
    <w:p>
      <w:pPr>
        <w:pStyle w:val="Heading1"/>
        <w:spacing w:before="360" w:after="200"/>
      </w:pPr>
      <w:r>
        <w:rPr>
          <w:rFonts w:ascii="Arial" w:cs="Arial" w:eastAsia="Arial" w:hAnsi="Arial"/>
        </w:rPr>
        <w:t xml:space="preserve">1. Month 6 Pipeline Check: 7 Metrics</w:t>
      </w:r>
    </w:p>
    <w:p>
      <w:pPr>
        <w:spacing w:after="160"/>
      </w:pPr>
      <w:r>
        <w:rPr>
          <w:rFonts w:ascii="Arial" w:cs="Arial" w:eastAsia="Arial" w:hAnsi="Arial"/>
          <w:b/>
          <w:bCs/>
          <w:i w:val="false"/>
          <w:iCs w:val="false"/>
          <w:color w:val="000000"/>
          <w:sz w:val="22"/>
          <w:szCs w:val="22"/>
        </w:rPr>
        <w:t xml:space="preserve">Month 6 is the first critical decision point. </w:t>
      </w:r>
      <w:r>
        <w:rPr>
          <w:rFonts w:ascii="Arial" w:cs="Arial" w:eastAsia="Arial" w:hAnsi="Arial"/>
          <w:b w:val="false"/>
          <w:bCs w:val="false"/>
          <w:i w:val="false"/>
          <w:iCs w:val="false"/>
          <w:color w:val="000000"/>
          <w:sz w:val="22"/>
          <w:szCs w:val="22"/>
        </w:rPr>
        <w:t xml:space="preserve">It occurs BEFORE the fall race season — there is still time to adjust strategy, increase investment, or pull back. The 7 metrics below provide a comprehensive view of the business’s health across: B2B pipeline, DTC traction, product quality, cash position, and audience growth. Each metric has a specific threshold for Bootstrap and Full Launch scenarios.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if Below</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pipeline value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CRM (HubSpot): total weighted pipeline value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$30K+ (Bootstrap) / $100K+ (Full Launch)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Pipeline below threshold signals: insufficient outreach volume (per P5A), product-market fit concerns, or pricing misalignment. ACTION: increase outreach, adjust pricing, or pivot to DTC-led strategy.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Active B2B conversations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CRM: deals in “Meeting Scheduled” through “Proposal Sent” stages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(Bootstrap) / 8+ (Full Launch)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Conversations = future revenue. If &lt;3 conversations after 6 months of outreach: the sales approach needs fundamental rethinking (message, channel, or target customer profile).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Signed POs or LOIs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CRM: deals in “PO Received” stage or later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(Bootstrap) / 3+ (Full Launch)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signed PO is the ONLY definitive proof of B2B product-market fit. Pipeline value and conversations are leading indicators; POs are the lagging confirmation. Zero POs at Month 6 is a SERIOUS warning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sales velocity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 Amazon: total units sold in Month 5–6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units/month (Bootstrap) / 200+ (Full Launch)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velocity indicates: whether runners will buy the product at the current price, whether the listing/store converts, and whether marketing channels are working. Below threshold: investigate listing quality, pricing, or traffic volume.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review 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Central: total reviews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reviews at 4.0+ stars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Reviews &lt;10 at Month 6: Vine enrollment may have been delayed, or Vine reviewers haven’t posted yet. Reviews &lt;4.0 stars: product quality or listing-expectation mismatch. Either issue must be addressed before fall race season advertising ramps.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Cash runway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Bank balance ÷ monthly burn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months of runway remaining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runway &lt;3 months at Month 6: the business cannot afford the fall season marketing investment. Options: inject personal capital, reduce planned marketing spend, or accelerate B2B deposit collection.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Email list size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Klaviyo: total subscribers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 (Bootstrap) / 1,500+ (Full Launch)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email list is the foundation of race-week campaigns (P7B Section 8) and holiday marketing (P7F Section 3). Below 500: the email channel won’t generate meaningful revenue. Focus: checklist lead magnet (P7B Section 7), popup optimization, expo email capture.</w:t>
            </w:r>
          </w:p>
        </w:tc>
      </w:tr>
    </w:tbl>
    <w:p>
      <w:pPr>
        <w:spacing w:before="200"/>
      </w:pPr>
    </w:p>
    <w:p>
      <w:pPr>
        <w:pStyle w:val="Heading2"/>
        <w:spacing w:before="280" w:after="160"/>
      </w:pPr>
      <w:r>
        <w:rPr>
          <w:rFonts w:ascii="Arial" w:cs="Arial" w:eastAsia="Arial" w:hAnsi="Arial"/>
        </w:rPr>
        <w:t xml:space="preserve">1.1 Month 6 Outcomes: Traffic Light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Outcome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Criteria</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 All metrics at or above threshold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ACCELERATE. Proceed with full fall campaign investment (P7F Section 1). Confirm second production run. Expand ambassador program. Register for fall expo booths. Increase ad budget to peak-season levels. The business is tracking toward the moderate B2B scenario or better.</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is the outcome the founder plans for and hopes for. Month 6 GREEN means: the product works, customers want it, and the fall season is positioned for strong execution.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YELLOW: 4–5 of 7 metrics at threshold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PROCEED WITH CAUTION. Invest in fall at a REDUCED level: fewer expos (1–2 instead of 3–4), lower ad budget (50–70% of planned), smaller production run (+5K units instead of +15K). Investigate the lagging metrics: is B2B pipeline weak (outreach problem) or is DTC slow (conversion problem)? Fix the weakest metric before allocating additional capital.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 is the most common Month 6 outcome for a new brand. Not everything will be on track. The key: identify the 1–2 lagging metrics and create a focused 90-day remediation plan. Do NOT ignore YELLOW metrics and hope they fix themselves.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RED: 3 or fewer metrics at threshold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PAUSE AND EVALUATE. Do NOT invest in the full fall campaign. Reduce: production to minimum, marketing to maintenance level, and expo attendance to zero. Conduct: a DEEP evaluation of why the business is underperforming. Common causes: (A) the product doesn’t work well enough (tear-away issues, warmth complaints, sizing problems), (B) the price is wrong (too high for B2B, not compelling enough for DTC), (C) the market doesn’t exist as hypothesized (runners don’t care about sustainability enough to switch from garbage bags), or (D) the founder hasn’t had enough time to execute (outreach hasn’t started, expos haven’t happened, marketing hasn’t launched). If (D): extend the timeline — the product may be viable but the execution was delayed. If (A), (B), or (C): consider a fundamental pivot or orderly wind-down.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 at Month 6 does not necessarily mean the business should close. It means: something is fundamentally wrong and must be diagnosed before investing further. The worst response to RED is: spending the remaining cash on a full fall campaign hoping the numbers will improve without understanding WHY they’re weak.</w:t>
            </w:r>
          </w:p>
        </w:tc>
      </w:tr>
    </w:tbl>
    <w:p>
      <w:r>
        <w:br w:type="page"/>
      </w:r>
    </w:p>
    <w:p>
      <w:pPr>
        <w:pStyle w:val="Heading1"/>
        <w:spacing w:before="360" w:after="200"/>
      </w:pPr>
      <w:r>
        <w:rPr>
          <w:rFonts w:ascii="Arial" w:cs="Arial" w:eastAsia="Arial" w:hAnsi="Arial"/>
        </w:rPr>
        <w:t xml:space="preserve">2. Month 10 Financial Review: 6 Metrics</w:t>
      </w:r>
    </w:p>
    <w:p>
      <w:pPr>
        <w:spacing w:after="160"/>
      </w:pPr>
      <w:r>
        <w:rPr>
          <w:rFonts w:ascii="Arial" w:cs="Arial" w:eastAsia="Arial" w:hAnsi="Arial"/>
          <w:b/>
          <w:bCs/>
          <w:i w:val="false"/>
          <w:iCs w:val="false"/>
          <w:color w:val="000000"/>
          <w:sz w:val="22"/>
          <w:szCs w:val="22"/>
        </w:rPr>
        <w:t xml:space="preserve">Month 10 occurs AFTER the peak fall race season. </w:t>
      </w:r>
      <w:r>
        <w:rPr>
          <w:rFonts w:ascii="Arial" w:cs="Arial" w:eastAsia="Arial" w:hAnsi="Arial"/>
          <w:b w:val="false"/>
          <w:bCs w:val="false"/>
          <w:i w:val="false"/>
          <w:iCs w:val="false"/>
          <w:color w:val="000000"/>
          <w:sz w:val="22"/>
          <w:szCs w:val="22"/>
        </w:rPr>
        <w:t xml:space="preserve">The data is in: pilot races have executed, fall DTC sales have materialized, and customer satisfaction feedback has been collected. Month 10 provides enough data to make a Year 2 commitment with confidence — not certainty, but INFORMED confidence based on 10 months of actual performance.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revenue (cumulative)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channels: Shopify + Amazon + B2B + Expo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Bootstrap: $12,000+ / Full Launch: $40,000+</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should cover &gt;60% of cumulative costs by Month 10. If &lt;60%: the business is burning cash faster than it’s generating revenue, and Year 2 profitability is unlikely without significant 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reorder signals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Post-race debrief results (P5B Section 5): did the race director indicate interest in reordering? Verbal commitment, email confirmation, or signed Year 2 PO?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 of pilot race directors express reorder interest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Reorder intent is the #1 indicator of product-market fit in B2B. If 4 of 5 pilot race directors want to reorder: the product works and the B2B model is validated. If &lt;50% want to reorder: investigate product quality, service quality, or pricing issues.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Customer satisfaction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reviews (average rating) + Shopify reviews + post-race survey scores (P5B Section 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out of 5.0 across all sources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Satisfaction below 4.0 means: the product is not meeting expectations. Common issues: warmth insufficient for very cold conditions, tear-away force too high or inconsistent, sizing too small for larger runners, packaging not intuitive. Feed ALL satisfaction data into P2F product improvement framework.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conversion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GA4: ecommerce purchase rate (purchases ÷ sessions)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(Shopify) / 10%+ (Amazon)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Conversion below target means: the listing/product page is not persuading visitors to buy. Investigate: image quality, price display, review count, social proof elements (per P6E). Do NOT increase ad spend to drive more traffic to a low-converting page — fix the page first.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Cash position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Bank balance + expected inflows (next 30 days) − expected outflows (next 30 days)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Positive net cash position with 2+ months runway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cash position is negative or runway &lt;2 months: the business cannot fund spring production or Year 2 operations without external capital. Decision: inject personal funds, raise capital, or reduce operations to cash-flow-positive level.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verification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Post-race composting reports from pilot races (P4D Section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 least 1 verified composting report with weight-diverted data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composting report is PROOF that the sustainability promise is real. Without it: the brand’s sustainability claims are unverified marketing language. With it: the brand can publish the data on the website, in investor materials, and in B2B pitch decks. If composting logistics failed at a pilot race: diagnose and fix before scaling.</w:t>
            </w:r>
          </w:p>
        </w:tc>
      </w:tr>
    </w:tbl>
    <w:p>
      <w:pPr>
        <w:spacing w:before="200"/>
      </w:pPr>
    </w:p>
    <w:p>
      <w:pPr>
        <w:pStyle w:val="Heading2"/>
        <w:spacing w:before="280" w:after="160"/>
      </w:pPr>
      <w:r>
        <w:rPr>
          <w:rFonts w:ascii="Arial" w:cs="Arial" w:eastAsia="Arial" w:hAnsi="Arial"/>
        </w:rPr>
        <w:t xml:space="preserve">2.1 Month 10 Outcomes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Outcome</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Criteria</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COMMIT TO YEAR 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6 metrics at or above threshold. Revenue &gt;60% of costs. Reorder rate &gt;80%. Satisfaction &gt;4.0. Cash positive with runway.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Place spring production order. Begin Year 2 B2B outreach with fall case studies. Expand: ambassador program, content calendar, and ad budget. Build: Year 2 financial plan (Section 3). Start: Year 2 product development (P2F V1.5 improvements). Timeline: 90 days of intense Year 2 preparation.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CONDITIONAL COMMIT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of 6 metrics at threshold. Revenue approaching 60% but not quite there. 1–2 metrics lagging.</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Commit to Year 2 at a REDUCED scale. Place a smaller spring production order (50–70% of planned). Reduce: marketing budget to maintenance level. Focus: on fixing the lagging metrics before scaling. Create: a 90-day remediation plan for weak areas. Decision: revisit at Month 12 with updated data. If the lagging metrics improve by Month 12: scale to full Year 2 plan. If not: further reduction or pivot.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EVALUATE ALTERNATIVES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or fewer metrics at threshold. Revenue &lt;40% of costs. Reorder rate &lt;50%. Cash runway &lt;2 months.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Options: (A) RAISE CAPITAL: if the product works (satisfaction &gt;4.0, reorders &gt;50%) but revenue is slow, outside funding can extend the runway. Prepare investor materials (Section 5). (B) PARTNER: approach a larger brand to distribute or co-brand the product. Negotiate licensing or distribution terms. (C) LICENSE: sell or license the IP (patent, BPI certification, brand assets) to a manufacturer. Collect royalties without operating the business. (D) WIND DOWN: if the product doesn’t work (satisfaction &lt;4.0, reorders &lt;50%) and there’s no clear path to fixing it: sell remaining inventory at cost, fulfill outstanding B2B commitments, and close the business. This is not failure — it is responsible stewardship of limited resources.</w:t>
            </w:r>
          </w:p>
        </w:tc>
      </w:tr>
    </w:tbl>
    <w:p>
      <w:r>
        <w:br w:type="page"/>
      </w:r>
    </w:p>
    <w:p>
      <w:pPr>
        <w:pStyle w:val="Heading1"/>
        <w:spacing w:before="360" w:after="200"/>
      </w:pPr>
      <w:r>
        <w:rPr>
          <w:rFonts w:ascii="Arial" w:cs="Arial" w:eastAsia="Arial" w:hAnsi="Arial"/>
        </w:rPr>
        <w:t xml:space="preserve">3. Year 2 Financial Plan: 3 Scenarios</w:t>
      </w:r>
    </w:p>
    <w:p>
      <w:pPr>
        <w:spacing w:after="160"/>
      </w:pPr>
      <w:r>
        <w:rPr>
          <w:rFonts w:ascii="Arial" w:cs="Arial" w:eastAsia="Arial" w:hAnsi="Arial"/>
          <w:b/>
          <w:bCs/>
          <w:i w:val="false"/>
          <w:iCs w:val="false"/>
          <w:color w:val="000000"/>
          <w:sz w:val="22"/>
          <w:szCs w:val="22"/>
        </w:rPr>
        <w:t xml:space="preserve">The Year 2 plan is built at Month 11–12 using ACTUAL Year 1 data. </w:t>
      </w:r>
      <w:r>
        <w:rPr>
          <w:rFonts w:ascii="Arial" w:cs="Arial" w:eastAsia="Arial" w:hAnsi="Arial"/>
          <w:b w:val="false"/>
          <w:bCs w:val="false"/>
          <w:i w:val="false"/>
          <w:iCs w:val="false"/>
          <w:color w:val="000000"/>
          <w:sz w:val="22"/>
          <w:szCs w:val="22"/>
        </w:rPr>
        <w:t xml:space="preserve">It replaces the hypothetical Year 1 scenarios (P8A Sections 1–2) with REALITY-BASED projections. Three scenarios (conservative, moderate, aggressive) provide: a floor (what happens with minimal investment), a target (what’s achievable with reasonable investment), and a ceiling (what’s possible with significant investment or external capital).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Revenue &amp; Growth</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Funding &amp; Risk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Conservative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1.5× Year 1 actual. B2B: Year 1 reorders + 3–5 new races from referrals. DTC: 1.5× Year 1 DTC with improved organic traffic. Marketing: same budget, better efficiency. Production: 1 production run, conservative quantities. No new hires.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Funding: self-funded from Year 1 cash flow + small cash reserve. Risk: LOW. Suitable if: Year 1 was marginally profitable and cash is tight.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Moderate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2–3× Year 1. B2B: reorders + 5–10 new races + 1 small series deal (REVEL or Mainly Marathons). DTC: 2× with improved SEO, expanded ambassador program, and optimized paid ads. Marketing: 1.5× Year 1 budget with proven ROI channels. Production: 2 production runs. Consider: part-time operations help (virtual assistant, $15–$25/hour, 10–20 hours/week).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Funding: self-funded from Year 1 profits + $10K–30K additional investment (personal or angel). Risk: MODERATE. Suitable if: Year 1 was profitable with strong reorder rates and growing DTC.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Aggressive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3–5× Year 1. B2B: reorders + 10–20 new races + 1–2 series deals + 2–5 sponsor-funded races. DTC: 3× with new product SKUs (finish-line wrap, bib sleeve per P2F). Marketing: 2× budget with podcast sponsorships + expanded PR. Production: 3+ runs. Hire: part-time marketing coordinator + part-time operations manager (or 1 full-time generalist). Begin international expansion (Canada).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Funding: requires $50K–$200K external capital (angel round or pre-seed). Risk: HIGH. Suitable if: Year 1 exceeded the moderate B2B scenario, product-market fit is proven, and the founder is ready to transition from solo operator to company builder.</w:t>
            </w:r>
          </w:p>
        </w:tc>
      </w:tr>
    </w:tbl>
    <w:p>
      <w:pPr>
        <w:spacing w:before="200"/>
      </w:pPr>
    </w:p>
    <w:p>
      <w:pPr>
        <w:pStyle w:val="Heading2"/>
        <w:spacing w:before="280" w:after="160"/>
      </w:pPr>
      <w:r>
        <w:rPr>
          <w:rFonts w:ascii="Arial" w:cs="Arial" w:eastAsia="Arial" w:hAnsi="Arial"/>
        </w:rPr>
        <w:t xml:space="preserve">3.1 Year 2 Planning Timeline</w:t>
      </w:r>
    </w:p>
    <w:p>
      <w:pPr>
        <w:spacing w:after="160"/>
      </w:pPr>
      <w:r>
        <w:rPr>
          <w:rFonts w:ascii="Arial" w:cs="Arial" w:eastAsia="Arial" w:hAnsi="Arial"/>
          <w:b w:val="false"/>
          <w:bCs w:val="false"/>
          <w:i w:val="false"/>
          <w:iCs w:val="false"/>
          <w:color w:val="000000"/>
          <w:sz w:val="22"/>
          <w:szCs w:val="22"/>
        </w:rPr>
        <w:t xml:space="preserve">MONTH 10: Begin Year 2 planning. Review: all Month 10 metrics (Section 2). Identify: Year 2 scenario (conservative/moderate/aggressive) based on Year 1 performance and available capital. Draft: Year 2 revenue projections using actual Year 1 data as the baseline. MONTH 11: Build the Year 2 financial model. Update: unit economics with actual COGS, fees, and CAC data. Plan: production quantities, marketing budget, and staffing needs for each scenario. If raising capital: begin investor outreach (send the Month 11 update with a preview of Year 2 plans and an invitation to discuss). MONTH 12: Finalize Year 2 plan. Commit: to a scenario based on available funding and Month 12 decision gate outcome. Place: spring production order. Lock: Year 2 B2B pricing. Set: Year 2 marketing calendar. If raising capital: formal pitch process begins (deck, meetings, data room).</w:t>
      </w:r>
    </w:p>
    <w:p>
      <w:r>
        <w:br w:type="page"/>
      </w:r>
    </w:p>
    <w:p>
      <w:pPr>
        <w:pStyle w:val="Heading1"/>
        <w:spacing w:before="360" w:after="200"/>
      </w:pPr>
      <w:r>
        <w:rPr>
          <w:rFonts w:ascii="Arial" w:cs="Arial" w:eastAsia="Arial" w:hAnsi="Arial"/>
        </w:rPr>
        <w:t xml:space="preserve">4. Investor Materials: 5 Components</w:t>
      </w:r>
    </w:p>
    <w:p>
      <w:pPr>
        <w:spacing w:after="160"/>
      </w:pPr>
      <w:r>
        <w:rPr>
          <w:rFonts w:ascii="Arial" w:cs="Arial" w:eastAsia="Arial" w:hAnsi="Arial"/>
          <w:b/>
          <w:bCs/>
          <w:i w:val="false"/>
          <w:iCs w:val="false"/>
          <w:color w:val="000000"/>
          <w:sz w:val="22"/>
          <w:szCs w:val="22"/>
        </w:rPr>
        <w:t xml:space="preserve">Investor materials should be READY by Month 12 even if the founder is not certain about raising capital. </w:t>
      </w:r>
      <w:r>
        <w:rPr>
          <w:rFonts w:ascii="Arial" w:cs="Arial" w:eastAsia="Arial" w:hAnsi="Arial"/>
          <w:b w:val="false"/>
          <w:bCs w:val="false"/>
          <w:i w:val="false"/>
          <w:iCs w:val="false"/>
          <w:color w:val="000000"/>
          <w:sz w:val="22"/>
          <w:szCs w:val="22"/>
        </w:rPr>
        <w:t xml:space="preserve">Having materials ready means: if an investor opportunity arises (a chance meeting, an advisor introduction, an accelerator application), the founder can respond immediately with professional materials instead of scrambling to assemble them. Preparation is not commitment to raise — it is optionality.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Pitch deck (10–15 slides)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Slide 1: Title (brand name, tagline, one-line description). Slide 2: Problem (35K+ garbage bags per marathon, 60K–120K lbs LDPE annually, $0 alternative exists). Slide 3: Solution (compostable warmth poncho, BPI certified, tear-away design, end-to-end composting logistics). Slide 4: Market (TAM $100M+ race-day warmth market, 2.5M+ cold-weather race participants, 600+ target races). Slide 5: Product (materials, performance data, FLIR image, patent-pending status). Slide 6: Traction (Year 1 revenue, units sold, races served, composting impact, customer satisfaction scores, review count). Slide 7: Business model (DTC channels + B2B at margins per P8A Section 3, unit economics by channel). Slide 8: Go-to-market (B2B pipeline + DTC strategy + seasonal marketing model). Slide 9: Competitive landscape (Heatsheets comparison, barriers to entry: BPI certification, composting network, race director relationships). Slide 10: Team (founder bio, relevant experience, advisors if any). Slide 11: Financials (Year 1 actual + Year 2 projections, 3 scenarios per Section 3). Slide 12: Ask (amount raising, use of funds, terms). Slide 13: Vision (Year 3–5: product line expansion, international, category leadership).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DESIGN: clean, visual, minimal text per slide. Use P1B brand identity (Earth Green, Dawn Gold, DM Sans). Include: product photos, FLIR image, race-day photos, composting lifecycle infographic. TOOLS: Canva ($0–$13/month), Google Slides (free), or Pitch (pitch.com, free tier). DO NOT use PowerPoint templates with generic stock photos. The deck should LOOK like the brand — sustainable, thoughtful, authentic.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Financial model (spreadsheet)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Google Sheet or Excel with tabs: ASSUMPTIONS (COGS, pricing, volume scenarios, marketing spend, headcount), YEAR 1 ACTUAL (monthly P&amp;L from P8B Section 2), YEAR 2 PROJECTIONS (3 scenarios: conservative, moderate, aggressive per Section 3), YEAR 3 PROJECTIONS (high-level, 2 scenarios), UNIT ECONOMICS (per P8A Section 3 with actual Year 1 data), and CAP TABLE (current ownership, proposed investment, post-money valuation, dilution). The model should be: editable (investor will change assumptions to test scenarios), clearly labeled (every assumption in one tab, formulas reference the assumption tab), and honest (do not inflate projections — sophisticated investors will see through them).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Investors evaluate the financial model for: reasonableness (are the assumptions credible?), scenario awareness (has the founder considered downside scenarios?), and founder sophistication (does the founder understand their own economics?). A clean, honest financial model builds more investor trust than an aggressive model with hockey-stick projections.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Customer evidence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Compile: 5–10 runner testimonials (from reviews, pilot surveys, ambassador feedback) with: name, race, quote, and photo if available. 2–3 race director testimonials: “We used [BRAND] ponchos at [Race Name] and our runners loved them. We’re ordering again next season.” 1–2 composting verification reports (P4D Section 4): “[X] lbs of poncho waste composted at [facility name] in [Y] weeks.” Amazon review screenshots (4.5+ star average). Media coverage clippings (if any per P7C). Case study summary from pilot race (P5B Section 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Customer evidence is the MOST PERSUASIVE element of the fundraising package. Investors see: hundreds of pitch decks with optimistic financial projections. They see very few with: actual customer quotes, verified composting data, and photo evidence of the product being used at real races. The evidence package differentiates this pitch from 95% of startup pitches.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room (Google Drive folder)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Organize: /Investor_Data_Room/ with subfolders: /Financials (Year 1 P&amp;L, cash flow, unit economics, Year 2 model), /Legal (business formation docs, trademark filing, patent application, BPI certificate), /Product (product spec sheet, FLIR test results, material certifications, composting reports), /Customers (testimonials, case studies, review screenshots, NPS data), /Marketing (brand guidelines, key metrics dashboard screenshot, content performance), /Press (media coverage links + screenshots). Share: as a Google Drive link with view-only access. Send: AFTER the pitch meeting, not before (the pitch deck should create interest; the data room provides depth for due diligence).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data room demonstrates: operational maturity (the founder is organized and prepared), transparency (everything is available for review), and readiness (the business is ready for investment, not scrambling to assemble materials). Most pre-seed and angel investors do NOT conduct formal due diligence — but having the data room ready signals professionalism that differentiates the founder.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Monthly investor updates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P8B Section 6: the 12 months of consistent monthly updates sent throughout Year 1 become the STRONGEST fundraising tool. An investor who has received 12 months of transparent updates has: watched the business grow from $0 to $X in revenue, seen the founder acknowledge and address challenges, observed consistent execution and learning, and developed trust in the founder’s character and capability. The ask at Month 12 is not cold — it’s the natural next step in a 12-month relationship.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 sending monthly updates from Month 1 to: any personal contacts who might invest in the future, any advisors or mentors, and any accelerator/incubator contacts. Even if the founder is NOT currently raising: the updates build relationships that can be activated at Month 12 if capital is needed.</w:t>
            </w:r>
          </w:p>
        </w:tc>
      </w:tr>
    </w:tbl>
    <w:p>
      <w:pPr>
        <w:spacing w:before="200"/>
      </w:pPr>
    </w:p>
    <w:p>
      <w:pPr>
        <w:pStyle w:val="Heading2"/>
        <w:spacing w:before="280" w:after="160"/>
      </w:pPr>
      <w:r>
        <w:rPr>
          <w:rFonts w:ascii="Arial" w:cs="Arial" w:eastAsia="Arial" w:hAnsi="Arial"/>
        </w:rPr>
        <w:t xml:space="preserve">4.1 Fundraising Options by Stage</w:t>
      </w:r>
    </w:p>
    <w:p>
      <w:pPr>
        <w:spacing w:after="160"/>
      </w:pPr>
      <w:r>
        <w:rPr>
          <w:rFonts w:ascii="Arial" w:cs="Arial" w:eastAsia="Arial" w:hAnsi="Arial"/>
          <w:b w:val="false"/>
          <w:bCs w:val="false"/>
          <w:i w:val="false"/>
          <w:iCs w:val="false"/>
          <w:color w:val="000000"/>
          <w:sz w:val="22"/>
          <w:szCs w:val="22"/>
        </w:rPr>
        <w:t xml:space="preserve">PRE-SEED ($25K–$100K): friends and family, angel investors, startup pitch competitions, micro-VCs (Precursor Ventures, Hustle Fund, Unshackled Ventures). Use: SAFE note (Simple Agreement for Future Equity) with a valuation cap of $500K–$2M depending on traction. SAFE notes are standard for pre-seed and avoid: valuation negotiation, board seat complexity, and legal costs. ANGEL ROUND ($100K–$500K): angel investor networks (AngelList, local angel groups), climate/sustainability-focused funds (Closed Loop Partners, Obvious Ventures, Prelude Ventures), and running/outdoor industry angels (former executives at Brooks, Hoka, Patagonia). Use: SAFE note or convertible note with $1M–$5M cap. GRANTS: USDA BioPreferred program, EPA SBIR grants for sustainable materials, state-level green business grants, and accelerator programs with non-dilutive funding (Techstars Sustainability, Circular Economy accelerators). Grants are FREE MONEY — always worth applying even if the odds are low. REVENUE-BASED FINANCING: Clearco, Pipe, or Shopify Capital provide: capital advances repaid as a percentage of monthly revenue (typically 6–12% of monthly revenue until 1.2–1.5× the advance is repaid). No dilution, no board seats. Best for: businesses with proven revenue and predictable cash flows.</w:t>
      </w:r>
    </w:p>
    <w:p>
      <w:r>
        <w:br w:type="page"/>
      </w:r>
    </w:p>
    <w:p>
      <w:pPr>
        <w:pStyle w:val="Heading1"/>
        <w:spacing w:before="360" w:after="200"/>
      </w:pPr>
      <w:r>
        <w:rPr>
          <w:rFonts w:ascii="Arial" w:cs="Arial" w:eastAsia="Arial" w:hAnsi="Arial"/>
        </w:rPr>
        <w:t xml:space="preserve">5. Year 1 Complete P&amp;L with Channel Analysis</w:t>
      </w:r>
    </w:p>
    <w:p>
      <w:pPr>
        <w:spacing w:after="160"/>
      </w:pPr>
      <w:r>
        <w:rPr>
          <w:rFonts w:ascii="Arial" w:cs="Arial" w:eastAsia="Arial" w:hAnsi="Arial"/>
          <w:b/>
          <w:bCs/>
          <w:i w:val="false"/>
          <w:iCs w:val="false"/>
          <w:color w:val="000000"/>
          <w:sz w:val="22"/>
          <w:szCs w:val="22"/>
        </w:rPr>
        <w:t xml:space="preserve">The Year 1 P&amp;L is the business’s financial autobiography. </w:t>
      </w:r>
      <w:r>
        <w:rPr>
          <w:rFonts w:ascii="Arial" w:cs="Arial" w:eastAsia="Arial" w:hAnsi="Arial"/>
          <w:b w:val="false"/>
          <w:bCs w:val="false"/>
          <w:i w:val="false"/>
          <w:iCs w:val="false"/>
          <w:color w:val="000000"/>
          <w:sz w:val="22"/>
          <w:szCs w:val="22"/>
        </w:rPr>
        <w:t xml:space="preserve">It tells the story of: how much revenue was generated (and from which channels), how much it cost to produce and sell the product, how much was invested in marketing (and which channels delivered ROI), and what the net result was. Combined with the strategic learnings section, it transforms 12 months of experience into a document that guides every Year 2 decision.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Include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Analysis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Revenue by channel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DTC: $[X]. Amazon DTC: $[X]. B2B Standard: $[X]. B2B Co-Brand: $[X]. Expo Direct: $[X]. TOTAL REVENUE: $[X].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Compare to: P8A Section 5 scenarios. Which scenario did reality most closely match? Why?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COGS by channel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Calculate: units sold per channel × actual per-unit COGS. Include: inventory purchases, freight, import duties, FBA fees, Shopify transaction fees. TOTAL COGS: $[X]. GROSS MARGIN: Revenue − COGS = $[X] ([X]%).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Compare actual COGS per unit to P8A Section 3 estimates. Were estimates accurate? Where did reality diverge? Update the unit economics model with actual data for Year 2 planning.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Marketing spend by channel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 Ads: $[X]. Google Ads: $[X]. Amazon PPC: $[X]. Ambassador program: $[X]. PR/media: $[X]. Expo total: $[X]. Content/tools: $[X]. Email (Klaviyo): $[X]. TOTAL MARKETING: $[X].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Calculate: CAC by channel (channel spend ÷ new customers from that channel). Identify: highest-ROI channel (invest more in Year 2) and lowest-ROI channel (reduce or eliminate).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Operating expenses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$[X]. Amazon Seller: $[X]. Software: $[X]. Insurance: $[X]. Professional services: $[X]. Travel: $[X]. Home office: $[X]. Other: $[X]. TOTAL OPERATING: $[X].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 are operating expenses proportional to revenue? A healthy Year 1 ratio: operating expenses &lt;20% of revenue. If &gt;30%: identify areas to reduce or grow revenue to improve the ratio.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Net income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 COGS − Marketing − Operating = NET INCOME: $[X] ([X]%).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net income range per P8A: Bootstrap ($5,257 loss) to ($4,314 profit). Full Launch ($22,958 loss) to ($25,888 profit). The ACTUAL number determines: the Year 2 path (self-fund if profitable, raise capital if not but product-market fit is proven).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Key customer metrics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unique customers (DTC): [X]. Repeat purchase rate: [X]%. Average order value (AOV): $[X]. Customer lifetime value (CLV, estimated): $[X]. B2B races served: [X]. B2B total units shipped: [X]. B2B reorder rate: [X]%. Email subscribers: [X]. Amazon reviews: [X] at [X] stars.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These metrics are MORE IMPORTANT than the P&amp;L numbers for predicting Year 2 success. High satisfaction + high reorder rate + growing customer base = a business that will be profitable in Year 2 even if Year 1 was not.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Strategic learnings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 (1) what WORKED better than expected (surprise wins), (2) what DIDN’T work (failed experiments, abandoned strategies), (3) what the founder would do DIFFERENTLY with hindsight, and (4) the #1 priority for Year 2. This section is the most VALUABLE part of the Year 1 P&amp;L: it transforms 12 months of experience into actionable wisdom for Year 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Write this section HONESTLY. It is not for external consumption (unless shared with investors who value transparency). It is for the FOUNDER: a personal record of what was learned, what was hard, and what the path forward looks like with the clarity of experience.</w:t>
            </w:r>
          </w:p>
        </w:tc>
      </w:tr>
    </w:tbl>
    <w:p>
      <w:pPr>
        <w:spacing w:before="200"/>
      </w:pPr>
    </w:p>
    <w:p>
      <w:pPr>
        <w:pStyle w:val="Heading2"/>
        <w:spacing w:before="280" w:after="160"/>
      </w:pPr>
      <w:r>
        <w:rPr>
          <w:rFonts w:ascii="Arial" w:cs="Arial" w:eastAsia="Arial" w:hAnsi="Arial"/>
        </w:rPr>
        <w:t xml:space="preserve">5.1 Year 1 P&amp;L Template</w:t>
      </w:r>
    </w:p>
    <w:p>
      <w:pPr>
        <w:spacing w:after="160"/>
      </w:pPr>
      <w:r>
        <w:rPr>
          <w:rFonts w:ascii="Arial" w:cs="Arial" w:eastAsia="Arial" w:hAnsi="Arial"/>
          <w:b w:val="false"/>
          <w:bCs w:val="false"/>
          <w:i w:val="false"/>
          <w:iCs w:val="false"/>
          <w:color w:val="000000"/>
          <w:sz w:val="22"/>
          <w:szCs w:val="22"/>
        </w:rPr>
        <w:t xml:space="preserve">GOOGLE SHEET STRUCTURE: Tab 1: YEAR 1 P&amp;L SUMMARY. Revenue section: 5 rows (Shopify, Amazon, B2B Standard, B2B Co-Brand, Expo) + Total Revenue. COGS section: 1 row (total, broken down in Tab 2). Gross Profit: Revenue − COGS. Gross Margin %: Gross Profit ÷ Revenue. Marketing section: 8 rows (Meta, Google, Amazon PPC, Klaviyo, Ambassador, PR, Expo costs, Content/Tools) + Total Marketing. Operating section: 8 rows (Shopify plan, Amazon Seller, Software, Insurance, Professional, Travel, Home Office, Other) + Total Operating. NET INCOME: Gross Profit − Marketing − Operating. NET MARGIN %: Net Income ÷ Revenue. Tab 2: COGS DETAIL (per channel, per unit, total). Tab 3: MONTHLY BREAKDOWN (12 columns, 1 per month, showing the monthly P&amp;L evolution). Tab 4: CHANNEL ANALYSIS (revenue, COGS, marketing spend, and net contribution per channel). Tab 5: CUSTOMER METRICS (total customers, repeat rate, AOV, CLV, email list, reviews). Tab 6: STRATEGIC LEARNINGS (narrative, per Section 5 row 7).</w:t>
      </w:r>
    </w:p>
    <w:p>
      <w:r>
        <w:br w:type="page"/>
      </w:r>
    </w:p>
    <w:p>
      <w:pPr>
        <w:pStyle w:val="Heading1"/>
        <w:spacing w:before="360" w:after="200"/>
      </w:pPr>
      <w:r>
        <w:rPr>
          <w:rFonts w:ascii="Arial" w:cs="Arial" w:eastAsia="Arial" w:hAnsi="Arial"/>
        </w:rPr>
        <w:t xml:space="preserve">6. Timeline &amp; Budget</w:t>
      </w:r>
    </w:p>
    <w:p>
      <w:pPr>
        <w:spacing w:after="160"/>
      </w:pPr>
      <w:r>
        <w:rPr>
          <w:rFonts w:ascii="Arial" w:cs="Arial" w:eastAsia="Arial" w:hAnsi="Arial"/>
          <w:b/>
          <w:bCs/>
          <w:i w:val="false"/>
          <w:iCs w:val="false"/>
          <w:color w:val="000000"/>
          <w:sz w:val="22"/>
          <w:szCs w:val="22"/>
        </w:rPr>
        <w:t xml:space="preserve">MONTH 6: Conduct the Month 6 Pipeline Check (Section 1). Score all 7 metrics against thresholds. Determine: GREEN/YELLOW/RED. Execute the corresponding action plan. Document: the Month 6 assessment in the investor update email (P8B Section 6) with honest analysis.</w:t>
      </w:r>
    </w:p>
    <w:p>
      <w:pPr>
        <w:spacing w:after="160"/>
      </w:pPr>
      <w:r>
        <w:rPr>
          <w:rFonts w:ascii="Arial" w:cs="Arial" w:eastAsia="Arial" w:hAnsi="Arial"/>
          <w:b/>
          <w:bCs/>
          <w:i w:val="false"/>
          <w:iCs w:val="false"/>
          <w:color w:val="000000"/>
          <w:sz w:val="22"/>
          <w:szCs w:val="22"/>
        </w:rPr>
        <w:t xml:space="preserve">MONTH 10: Conduct the Month 10 Financial Review (Section 2). Score all 6 metrics. Determine: COMMIT/CONDITIONAL COMMIT/EVALUATE ALTERNATIVES. Begin Year 2 planning (Section 3) based on the outcome. If raising capital: begin preparing investor materials (Section 4).</w:t>
      </w:r>
    </w:p>
    <w:p>
      <w:pPr>
        <w:spacing w:after="160"/>
      </w:pPr>
      <w:r>
        <w:rPr>
          <w:rFonts w:ascii="Arial" w:cs="Arial" w:eastAsia="Arial" w:hAnsi="Arial"/>
          <w:b/>
          <w:bCs/>
          <w:i w:val="false"/>
          <w:iCs w:val="false"/>
          <w:color w:val="000000"/>
          <w:sz w:val="22"/>
          <w:szCs w:val="22"/>
        </w:rPr>
        <w:t xml:space="preserve">MONTH 11–12: Finalize Year 2 financial plan (3 scenarios). Complete investor materials package if needed (pitch deck, financial model, customer evidence, data room). Compile Year 1 Complete P&amp;L (Section 5) with channel analysis and strategic learnings. Make the Year 2 commitment decision. If self-funding: place production order, set budgets, execute. If raising: begin formal investor outreach with pitch deck + data room.</w:t>
      </w:r>
    </w:p>
    <w:p>
      <w:pPr>
        <w:spacing w:after="160"/>
      </w:pPr>
      <w:r>
        <w:rPr>
          <w:rFonts w:ascii="Arial" w:cs="Arial" w:eastAsia="Arial" w:hAnsi="Arial"/>
          <w:b w:val="false"/>
          <w:bCs w:val="false"/>
          <w:i w:val="false"/>
          <w:iCs w:val="false"/>
          <w:color w:val="000000"/>
          <w:sz w:val="22"/>
          <w:szCs w:val="22"/>
        </w:rPr>
        <w:t xml:space="preserve">BUDGET: Google Sheets (financial models, P&amp;L): $0. Pitch deck design (Canva/Pitch): $0–$13. Data room (Google Drive): $0. Legal review of SAFE note (if raising): $500–$2,000 (or use standard YC SAFE template for $0). TOTAL P8D: $0–$2,013. The decision frameworks cost nothing to prepare and save everything by preventing: premature investment in a failing business, premature abandonment of a viable business, or uninformed fundraising that wastes the founder’s time and reputation.</w:t>
      </w:r>
    </w:p>
    <w:p>
      <w:r>
        <w:br w:type="page"/>
      </w:r>
    </w:p>
    <w:p>
      <w:pPr>
        <w:pStyle w:val="Heading1"/>
        <w:spacing w:before="360" w:after="200"/>
      </w:pPr>
      <w:r>
        <w:rPr>
          <w:rFonts w:ascii="Arial" w:cs="Arial" w:eastAsia="Arial" w:hAnsi="Arial"/>
        </w:rPr>
        <w:t xml:space="preserve">7. Conclusion: Decide with Data, Not Emotion</w:t>
      </w:r>
    </w:p>
    <w:p>
      <w:pPr>
        <w:spacing w:after="160"/>
      </w:pPr>
      <w:r>
        <w:rPr>
          <w:rFonts w:ascii="Arial" w:cs="Arial" w:eastAsia="Arial" w:hAnsi="Arial"/>
          <w:b/>
          <w:bCs/>
          <w:i w:val="false"/>
          <w:iCs w:val="false"/>
          <w:color w:val="000000"/>
          <w:sz w:val="22"/>
          <w:szCs w:val="22"/>
        </w:rPr>
        <w:t xml:space="preserve">The founder who writes down decision thresholds in Month 1 and evaluates honestly against them in Month 6, 10, and 12 will make BETTER DECISIONS than the founder who “goes with their gut.” </w:t>
      </w:r>
      <w:r>
        <w:rPr>
          <w:rFonts w:ascii="Arial" w:cs="Arial" w:eastAsia="Arial" w:hAnsi="Arial"/>
          <w:b w:val="false"/>
          <w:bCs w:val="false"/>
          <w:i w:val="false"/>
          <w:iCs w:val="false"/>
          <w:color w:val="000000"/>
          <w:sz w:val="22"/>
          <w:szCs w:val="22"/>
        </w:rPr>
        <w:t xml:space="preserve">Gut feelings are influenced by: sunk-cost bias (“I’ve invested too much to stop now”), confirmation bias (“that one positive email from a race director means the whole market wants this”), and recency bias (“last week was great so the whole business must be working”). Data cuts through all three biases and reveals: the actual state of the business, the actual trajectory, and the actual options.</w:t>
      </w:r>
    </w:p>
    <w:p>
      <w:pPr>
        <w:spacing w:after="160"/>
      </w:pPr>
      <w:r>
        <w:rPr>
          <w:rFonts w:ascii="Arial" w:cs="Arial" w:eastAsia="Arial" w:hAnsi="Arial"/>
          <w:b/>
          <w:bCs/>
          <w:i w:val="false"/>
          <w:iCs w:val="false"/>
          <w:color w:val="000000"/>
          <w:sz w:val="22"/>
          <w:szCs w:val="22"/>
        </w:rPr>
        <w:t xml:space="preserve">P8 is complete. </w:t>
      </w:r>
      <w:r>
        <w:rPr>
          <w:rFonts w:ascii="Arial" w:cs="Arial" w:eastAsia="Arial" w:hAnsi="Arial"/>
          <w:b w:val="false"/>
          <w:bCs w:val="false"/>
          <w:i w:val="false"/>
          <w:iCs w:val="false"/>
          <w:color w:val="000000"/>
          <w:sz w:val="22"/>
          <w:szCs w:val="22"/>
        </w:rPr>
        <w:t xml:space="preserve">The financial foundation is built: a cash flow forecast (P8A), a cash management system (P8B), a tax compliance framework (P8C), and a decision framework (P8D). Together, they ensure: the founder knows the numbers, manages the cash, complies with obligations, and makes informed decisions at every critical juncture. The business is financially ready to launch, operate, and scale.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2026-04-01T02:53:05.966Z</dcterms:created>
  <dcterms:modified xsi:type="dcterms:W3CDTF">2026-04-01T02:53:05.966Z</dcterms:modified>
</cp:coreProperties>
</file>

<file path=docProps/custom.xml><?xml version="1.0" encoding="utf-8"?>
<Properties xmlns="http://schemas.openxmlformats.org/officeDocument/2006/custom-properties" xmlns:vt="http://schemas.openxmlformats.org/officeDocument/2006/docPropsVTypes"/>
</file>