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P9B: INTELLECTUAL</w:t>
      </w:r>
    </w:p>
    <w:p>
      <w:pPr>
        <w:spacing w:after="200"/>
        <w:jc w:val="center"/>
      </w:pPr>
      <w:r>
        <w:rPr>
          <w:rFonts w:ascii="Arial" w:cs="Arial" w:eastAsia="Arial" w:hAnsi="Arial"/>
          <w:b/>
          <w:bCs/>
          <w:color w:val="1B3A6B"/>
          <w:sz w:val="44"/>
          <w:szCs w:val="44"/>
        </w:rPr>
        <w:t xml:space="preserve">PROPERTY</w:t>
      </w:r>
    </w:p>
    <w:p>
      <w:pPr>
        <w:pBdr>
          <w:bottom w:val="single" w:color="2E5090" w:sz="6" w:space="12"/>
        </w:pBdr>
        <w:spacing w:after="100"/>
        <w:jc w:val="center"/>
      </w:pPr>
      <w:r>
        <w:rPr>
          <w:rFonts w:ascii="Arial" w:cs="Arial" w:eastAsia="Arial" w:hAnsi="Arial"/>
          <w:color w:val="666666"/>
          <w:sz w:val="24"/>
          <w:szCs w:val="24"/>
        </w:rPr>
        <w:t xml:space="preserve">Sub-Project P9B  |  Legal, Compliance &amp; Sustainability Certs  |  Weeks 4–12</w:t>
      </w:r>
    </w:p>
    <w:p>
      <w:pPr>
        <w:spacing w:before="400"/>
        <w:jc w:val="center"/>
      </w:pPr>
      <w:r>
        <w:rPr>
          <w:rFonts w:ascii="Arial" w:cs="Arial" w:eastAsia="Arial" w:hAnsi="Arial"/>
          <w:i/>
          <w:iCs/>
          <w:color w:val="888888"/>
          <w:sz w:val="22"/>
          <w:szCs w:val="22"/>
        </w:rPr>
        <w:t xml:space="preserve">Complete IP Protection Strategy: Brand Name Trademark Filing, Tagline Trademark Analysis, Design/Utility Patent for Tear-Away Mechanism, Digital IP Security, Trade Secret Documentation, NDA Template, and Quarterly IP Monitoring</w:t>
      </w:r>
    </w:p>
    <w:p>
      <w:pPr>
        <w:spacing w:before="600"/>
        <w:jc w:val="center"/>
      </w:pPr>
      <w:r>
        <w:rPr>
          <w:rFonts w:ascii="Arial" w:cs="Arial" w:eastAsia="Arial" w:hAnsi="Arial"/>
          <w:color w:val="888888"/>
          <w:sz w:val="22"/>
          <w:szCs w:val="22"/>
        </w:rPr>
        <w:t xml:space="preserve">March 2026  |  Confidential  |  NOT LEGAL ADVICE — Consult a Trademark Attorney</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Intellectual property is the ONLY asset a competitor cannot replicate by spending money. </w:t>
      </w:r>
      <w:r>
        <w:rPr>
          <w:rFonts w:ascii="Arial" w:cs="Arial" w:eastAsia="Arial" w:hAnsi="Arial"/>
          <w:b w:val="false"/>
          <w:bCs w:val="false"/>
          <w:i w:val="false"/>
          <w:iCs w:val="false"/>
          <w:color w:val="000000"/>
          <w:sz w:val="22"/>
          <w:szCs w:val="22"/>
        </w:rPr>
        <w:t xml:space="preserve">A competitor can: source the same materials (NatureFlex NM is commercially available), hire the same factories (Parkside accepts multiple clients), copy the same marketing strategy (content calendars are not proprietary), and target the same customers (race directors are publicly listed). But a competitor CANNOT: use the brand’s registered trademark, replicate the patented tear-away mechanism, or access the brand’s trade secrets (supplier pricing, customer relationships, composting partner terms). IP protection creates: the legal walls that turn a first-mover advantage into a durable competitive moat.</w:t>
      </w:r>
    </w:p>
    <w:p>
      <w:pPr>
        <w:spacing w:after="160"/>
      </w:pPr>
      <w:r>
        <w:rPr>
          <w:rFonts w:ascii="Arial" w:cs="Arial" w:eastAsia="Arial" w:hAnsi="Arial"/>
          <w:b/>
          <w:bCs/>
          <w:i w:val="false"/>
          <w:iCs w:val="false"/>
          <w:color w:val="000000"/>
          <w:sz w:val="22"/>
          <w:szCs w:val="22"/>
        </w:rPr>
        <w:t xml:space="preserve">Seven IP protections are established: </w:t>
      </w:r>
      <w:r>
        <w:rPr>
          <w:rFonts w:ascii="Arial" w:cs="Arial" w:eastAsia="Arial" w:hAnsi="Arial"/>
          <w:b w:val="false"/>
          <w:bCs w:val="false"/>
          <w:i w:val="false"/>
          <w:iCs w:val="false"/>
          <w:color w:val="000000"/>
          <w:sz w:val="22"/>
          <w:szCs w:val="22"/>
        </w:rPr>
        <w:t xml:space="preserve">(1) trademark registration for the brand name in Class 25 (clothing), (2) trademark analysis for the tagline with conflict assessment, (3) provisional patent application for the tear-away mechanism establishing “Patent Pending” status, (4) digital IP security covering domain, social handles, email, and brand asset storage, (5) trade secret documentation and protection measures for 8 categories of proprietary information, (6) an NDA template for use with suppliers, investors, and partners, and (7) quarterly IP monitoring across USPTO, Amazon, Google, social media, and domain registrations.</w:t>
      </w:r>
    </w:p>
    <w:p>
      <w:r>
        <w:br w:type="page"/>
      </w:r>
    </w:p>
    <w:p>
      <w:pPr>
        <w:pStyle w:val="Heading1"/>
        <w:spacing w:before="360" w:after="200"/>
      </w:pPr>
      <w:r>
        <w:rPr>
          <w:rFonts w:ascii="Arial" w:cs="Arial" w:eastAsia="Arial" w:hAnsi="Arial"/>
        </w:rPr>
        <w:t xml:space="preserve">1. Trademark: Brand Name</w:t>
      </w:r>
    </w:p>
    <w:p>
      <w:pPr>
        <w:spacing w:after="160"/>
      </w:pPr>
      <w:r>
        <w:rPr>
          <w:rFonts w:ascii="Arial" w:cs="Arial" w:eastAsia="Arial" w:hAnsi="Arial"/>
          <w:b/>
          <w:bCs/>
          <w:i w:val="false"/>
          <w:iCs w:val="false"/>
          <w:color w:val="000000"/>
          <w:sz w:val="22"/>
          <w:szCs w:val="22"/>
        </w:rPr>
        <w:t xml:space="preserve">The brand name trademark is the MOST IMPORTANT IP asset. </w:t>
      </w:r>
      <w:r>
        <w:rPr>
          <w:rFonts w:ascii="Arial" w:cs="Arial" w:eastAsia="Arial" w:hAnsi="Arial"/>
          <w:b w:val="false"/>
          <w:bCs w:val="false"/>
          <w:i w:val="false"/>
          <w:iCs w:val="false"/>
          <w:color w:val="000000"/>
          <w:sz w:val="22"/>
          <w:szCs w:val="22"/>
        </w:rPr>
        <w:t xml:space="preserve">It protects: the exclusive right to use the brand name in connection with the product category, the ability to enforce against copycats on Amazon (Brand Registry), and the brand equity built through years of marketing, PR, and customer relationships. Without a trademark: anyone can use a confusingly similar name and free-ride on the brand’s reputation.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Pre-filing search</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filing: conduct a trademark search on: (1) USPTO TESS database (tmsearch.uspto.gov) — search for the exact brand name and phonetic variations. (2) Google search — search the brand name + “poncho,” “running,” “sustainable” to find unregistered but actively used marks. (3) State trademark databases — some brands register only at the state level. (4) Domain availability (check if brand.com is available or already owned by another entity). If the search reveals a CONFUSINGLY SIMILAR mark in the same class: choose a different name BEFORE filing ($250–$350 saved) or consult a trademark attorney ($200–$500 opinion letter) for risk assessment.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trademark application that is REFUSED due to a confusingly similar mark wastes: the filing fee ($250–$350, non-refundable), 3–6 months of waiting, and the opportunity cost of building brand equity on a name that will be challenged. Do the search FIRST.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Filing application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File via USPTO TEAS Plus (teas.gov) — the online application system. TEAS Plus: $250 per class (lower fee, requires selecting from pre-approved descriptions of goods/services). TEAS Standard: $350 per class (allows custom descriptions). RECOMMENDED: TEAS Plus for cost savings. Application includes: applicant name (the LLC, not the founder personally), applicant address, mark (the brand name in standard characters — covers all fonts/styles), class(es) of goods, description of goods, basis (1a: already in use, or 1b: intent to use), specimen (if 1a: a photo showing the mark used on the product or in advertising — e.g., product packaging with the brand name, or the Shopify product page showing the brand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File under the LLC’s name (not the founder’s personal name). This ensures: the trademark is owned by the BUSINESS entity and transfers with the business if sold. If filing 1b (intent to use): the mark is reserved but the founder must file a “Statement of Use” (with specimen) before the registration issues. The Statement of Use has a 6-month deadline with extensions available (up to 3 years total).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Classes to file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CLASS 25: Clothing, footwear, headwear. Covers: the poncho as a wearable garment. Description: “Ponchos; rain ponchos; warming ponchos; compostable ponchos for athletic use.” CLASS 24 (optional, recommended if budget allows): Textiles and textile goods. Covers: the poncho as a textile product. Description: “Compostable textile ponchos for athletic events.” Filing in 2 classes: $500–$700 total (TEAS Plus). Filing in 1 class: $250–$350. RECOMMENDATION: file in Class 25 initially. Add Class 24 in Year 2 if budget allows and brand expansion warrants broader protection.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Each class is a separate $250–$350 filing fee. A brand name registered in Class 25 is only protected against confusingly similar marks in Class 25 (clothing/apparel). A competitor could potentially use a similar name in a different class (e.g., Class 28: sporting goods). Filing in multiple classes broadens protection but increases cost.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Filing to registration: 8–12 months (typical). After filing (Day 0): application assigned to an examining attorney (3–4 months). Examination: the attorney reviews for: confusing similarity with existing marks, descriptiveness issues, and compliance. If no issues: the mark is published for opposition (30 days for anyone to object). If no opposition: registration issues (2–3 months after publication). If the examiner issues an “Office Action” (objection): the applicant has 3 months to respond. Common issues: the mark is too descriptive (“Compostable Poncho” is descriptive and unregistrable; a coined brand name is registrable), the specimen doesn’t show the mark in use, or a similar mark exists.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During the 8–12 month processing period: the founder can use ™ (TM) symbol next to the brand name (indicates a claimed, unregistered trademark). After registration: use ® (R) symbol (indicates a federally registered trademark). The ™ symbol provides some common-law protection even before registration.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Brand Registry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filing (with a serial number from USPTO): apply for Amazon Brand Registry via the IP Accelerator program ($600–$1,500 via an Amazon-partnered law firm per P6C Section 1). Brand Registry provides: A+ Content, Sponsored Brands ads, brand analytics, and IP protection — all critical for Amazon success. IP Accelerator allows enrollment with a PENDING trademark (no need to wait 8–12 months for registration). The IP Accelerator firm files or adopts the existing application and certifies it to Amazon.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budget is tight: file the trademark ($250) first, then apply for IP Accelerator ($600–$1,500) when Amazon Brand Registry becomes a priority (Week 12–14 per P6C). Total: $850–$1,850 for trademark + Brand Registry. Without Brand Registry: the Amazon listing lacks A+ Content, which reduces conversion by 3–10%.</w:t>
            </w:r>
          </w:p>
        </w:tc>
      </w:tr>
    </w:tbl>
    <w:p>
      <w:r>
        <w:br w:type="page"/>
      </w:r>
    </w:p>
    <w:p>
      <w:pPr>
        <w:pStyle w:val="Heading1"/>
        <w:spacing w:before="360" w:after="200"/>
      </w:pPr>
      <w:r>
        <w:rPr>
          <w:rFonts w:ascii="Arial" w:cs="Arial" w:eastAsia="Arial" w:hAnsi="Arial"/>
        </w:rPr>
        <w:t xml:space="preserve">2. Trademark: Tagline</w:t>
      </w:r>
    </w:p>
    <w:p>
      <w:pPr>
        <w:spacing w:after="160"/>
      </w:pPr>
      <w:r>
        <w:rPr>
          <w:rFonts w:ascii="Arial" w:cs="Arial" w:eastAsia="Arial" w:hAnsi="Arial"/>
          <w:b/>
          <w:bCs/>
          <w:i w:val="false"/>
          <w:iCs w:val="false"/>
          <w:color w:val="000000"/>
          <w:sz w:val="22"/>
          <w:szCs w:val="22"/>
        </w:rPr>
        <w:t xml:space="preserve">A distinctive tagline can be trademarked separately from the brand name, </w:t>
      </w:r>
      <w:r>
        <w:rPr>
          <w:rFonts w:ascii="Arial" w:cs="Arial" w:eastAsia="Arial" w:hAnsi="Arial"/>
          <w:b w:val="false"/>
          <w:bCs w:val="false"/>
          <w:i w:val="false"/>
          <w:iCs w:val="false"/>
          <w:color w:val="000000"/>
          <w:sz w:val="22"/>
          <w:szCs w:val="22"/>
        </w:rPr>
        <w:t xml:space="preserve">providing an additional layer of brand protection. However: tagline trademarks are LOWER PRIORITY than the brand name and should only be pursued if: the tagline is truly distinctive (not a common phrase), the tagline will be used consistently for 2+ years, and the budget allows the additional $250–$350 filing fee.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Candidate taglines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Warm. Leave No Trace.” or the winning tagline from P1A/P1C brand development. The tagline must be: distinctive (not a common phrase), associated with the brand (used consistently in marketing), and not merely descriptive or informational.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File a tagline trademark ONLY if: the tagline is central to brand identity, will be used for 2+ years, and is sufficiently distinctive to be registrable. Generic phrases (“Stay Warm”) or commonly used slogans (“Leave No Trace” — which is a registered mark of the Leave No Trace Center for Outdoor Ethics) may NOT be registrable or may conflict.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Leave No Trace conflict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“Leave No Trace” is a REGISTERED trademark of the Leave No Trace Center for Outdoor Ethics. Using “Leave No Trace” in the brand’s tagline risks: a cease-and-desist from the LNT organization, a trademark opposition if the brand tries to register it, and reputational damage from appearing to co-opt an established environmental organization’s mark.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MITIGATION: (A) modify the tagline to avoid the exact phrase “Leave No Trace” (e.g., “Race Warm. Leave Zero Waste.” or “Race Warm. Nothing Left Behind.”), (B) contact the Leave No Trace organization proactively to discuss: a licensing arrangement, a partnership (1% of revenue donated per P9E), or permission to use the phrase in a clearly different context, or (C) use the tagline descriptively (not as a trademark) — descriptive fair use may allow the phrase in marketing copy but not as a registered mark.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Filing if proceeding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 process as brand name (Section 1): TEAS Plus, $250 per class, Class 25 and/or Class 35 (advertising and business services). File the tagline as a STANDARD CHARACTER mark (protects all fonts/styles). Provide: a specimen showing the tagline used in advertising (website screenshot, product packaging, social media post with the tagline).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Tagline trademark filing is LOWER PRIORITY than the brand name. File: Month 6–8 after the tagline has been used consistently and the brand name trademark is in process. Budget: $250–$350 additional.</w:t>
            </w:r>
          </w:p>
        </w:tc>
      </w:tr>
    </w:tbl>
    <w:p>
      <w:r>
        <w:br w:type="page"/>
      </w:r>
    </w:p>
    <w:p>
      <w:pPr>
        <w:pStyle w:val="Heading1"/>
        <w:spacing w:before="360" w:after="200"/>
      </w:pPr>
      <w:r>
        <w:rPr>
          <w:rFonts w:ascii="Arial" w:cs="Arial" w:eastAsia="Arial" w:hAnsi="Arial"/>
        </w:rPr>
        <w:t xml:space="preserve">3. Patent: Tear-Away Mechanism</w:t>
      </w:r>
    </w:p>
    <w:p>
      <w:pPr>
        <w:spacing w:after="160"/>
      </w:pPr>
      <w:r>
        <w:rPr>
          <w:rFonts w:ascii="Arial" w:cs="Arial" w:eastAsia="Arial" w:hAnsi="Arial"/>
          <w:b/>
          <w:bCs/>
          <w:i w:val="false"/>
          <w:iCs w:val="false"/>
          <w:color w:val="000000"/>
          <w:sz w:val="22"/>
          <w:szCs w:val="22"/>
        </w:rPr>
        <w:t xml:space="preserve">The laser-perforated tear-away system is the product’s most novel feature. </w:t>
      </w:r>
      <w:r>
        <w:rPr>
          <w:rFonts w:ascii="Arial" w:cs="Arial" w:eastAsia="Arial" w:hAnsi="Arial"/>
          <w:b w:val="false"/>
          <w:bCs w:val="false"/>
          <w:i w:val="false"/>
          <w:iCs w:val="false"/>
          <w:color w:val="000000"/>
          <w:sz w:val="22"/>
          <w:szCs w:val="22"/>
        </w:rPr>
        <w:t xml:space="preserve">If it is truly novel (no existing product uses a similar perforation pattern for rapid garment removal), patent protection can prevent: competitors from copying the specific tear-away design, and provides: “Patent Pending” marketing language that signals innovation and deters copycats.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Tear-away mechanism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laser-perforated tear-away system (P2C Section 2: 2mm perforated / 1mm bridge pattern, 3–5N tear force) is a NOVEL DESIGN feature. If no existing product uses a similar perforation pattern on a wearable garment for rapid removal: a design patent may protect the APPEARANCE of the perforation pattern and the garment’s overall design. A utility patent would protect the FUNCTION (the method of removing a garment using laser-perforated tear-away). Design patent: protects ornamental appearance, easier to obtain, cheaper ($500–$1,500 attorney + $200–$300 USPTO fees), 15-year term. Utility patent: protects functional invention, harder to obtain, more expensive ($5,000–$15,000 attorney + $1,500–$3,000 USPTO fees), 20-year term.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RECOMMENDATION: file a provisional patent application ($150 USPTO fee + $500–$1,500 attorney) that describes BOTH the design and the function of the tear-away mechanism. The provisional application: establishes a priority date (locks in the invention date for 12 months), allows the use of “Patent Pending” on all marketing materials, and provides 12 months to decide whether to: file a full design patent, file a full utility patent, or let the provisional lapse (no further cost). “Patent Pending” status is a MARKETING ASSET: it signals innovation to customers and deters competitors.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Prior art search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Before filing: conduct a prior art search to determine if the tear-away mechanism is truly novel. Search: Google Patents (patents.google.com) for: perforated garment, tear-away clothing, rapid-removal apparel, laser-perforated textile. Also search: existing products (medical gowns with tear-away snaps, emergency blankets with perforations, disposable surgical drapes). If SIMILAR prior art exists: a patent may still be obtainable if the brand’s specific application (race-start-line poncho with specific perforation pattern for specific tear force) is sufficiently distinct.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patent attorney ($200–$400/hour) can conduct a more thorough prior art search and provide a patentability opinion ($500–$1,500). This opinion assesses: likelihood of obtaining a patent, scope of protection achievable, and whether the investment is worthwhile. For a startup: the provisional patent ($150–$1,650 total) is often the best first step — it’s cheap, fast, and provides 12 months to evaluate.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Patent Pending marketing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Once a provisional or non-provisional patent application is filed: immediately add “Patent Pending” to: product packaging (P3D), Amazon listing (bullet point #3 or A+ Content), Shopify product page, B2B data sheet, press release (P7C), and pitch deck (P8D Section 4). “Patent Pending” communicates: this product is innovative, the IP is protected, and copying carries legal risk. It deters: competitors who might otherwise replicate the tear-away design, and it signals: quality and innovation to race directors and DTC customers.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claim “Patented” until a patent is actually GRANTED (making a false patent claim is illegal under 35 U.S.C. § 292). “Patent Pending” is appropriate from the moment of filing through the entire examination process. If the application is ultimately rejected: remove “Patent Pending” from all materials.</w:t>
            </w:r>
          </w:p>
        </w:tc>
      </w:tr>
    </w:tbl>
    <w:p>
      <w:r>
        <w:br w:type="page"/>
      </w:r>
    </w:p>
    <w:p>
      <w:pPr>
        <w:pStyle w:val="Heading1"/>
        <w:spacing w:before="360" w:after="200"/>
      </w:pPr>
      <w:r>
        <w:rPr>
          <w:rFonts w:ascii="Arial" w:cs="Arial" w:eastAsia="Arial" w:hAnsi="Arial"/>
        </w:rPr>
        <w:t xml:space="preserve">4. Digital IP: 4 Assets</w:t>
      </w:r>
    </w:p>
    <w:p>
      <w:pPr>
        <w:spacing w:after="160"/>
      </w:pPr>
      <w:r>
        <w:rPr>
          <w:rFonts w:ascii="Arial" w:cs="Arial" w:eastAsia="Arial" w:hAnsi="Arial"/>
          <w:b/>
          <w:bCs/>
          <w:i w:val="false"/>
          <w:iCs w:val="false"/>
          <w:color w:val="000000"/>
          <w:sz w:val="22"/>
          <w:szCs w:val="22"/>
        </w:rPr>
        <w:t xml:space="preserve">Digital IP is the brand’s online identity. </w:t>
      </w:r>
      <w:r>
        <w:rPr>
          <w:rFonts w:ascii="Arial" w:cs="Arial" w:eastAsia="Arial" w:hAnsi="Arial"/>
          <w:b w:val="false"/>
          <w:bCs w:val="false"/>
          <w:i w:val="false"/>
          <w:iCs w:val="false"/>
          <w:color w:val="000000"/>
          <w:sz w:val="22"/>
          <w:szCs w:val="22"/>
        </w:rPr>
        <w:t xml:space="preserve">A domain name, social media handles, professional email, and organized brand assets are: the first things a customer, journalist, race director, or investor encounters when they search for the brand. Losing any of these to: squatters, imposters, or accidental deletion is costly and time-consuming to recover.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Domain name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Register brand.com (and .co, .net, .org if available and budget allows). Use: Namecheap ($8–$15/year per domain), Google Domains, or Cloudflare Registrar ($8–$12/year, at-cost pricing). Enable: WHOIS privacy (included free with most registrars) to keep the founder’s personal information off public domain records. Set: auto-renewal ON to prevent losing the domain due to expired registration.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domain is one of the brand’s most valuable digital assets. If the brand name is “RaceStart Warmth”: secure racestartwarmth.com BEFORE announcing the brand publicly. Domain squatters monitor trademark filings and register domains of newly filed brands. Register the domain BEFORE or simultaneously with the trademark filing.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media handles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Secure handles on: Instagram (@brandname), TikTok (@brandname), Facebook (facebook.com/brandname), Twitter/X (@brandname), LinkedIn (company page), YouTube (channel), Pinterest, and Strava (club name). Even if the brand won’t use all platforms immediately: securing the handle prevents: squatters, imposters, and confusion if the brand expands to new platforms later.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 ALL handles in the same session (30–45 minutes). Use the SAME handle across all platforms for consistency. If the exact handle is taken on one platform: use a close variation (e.g., @brandnamerun, @brandnameofficial) but secure the primary version on as many platforms as possible.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Google Workspace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 up Google Workspace ($6/user/month) or use free Gmail with a professional email forwarding setup. A professional email (founder@brandname.com) is essential for: B2B outreach (race directors take founder@gmail.com less seriously than founder@brandname.com), press inquiries, and investor communication. Google Workspace includes: custom email, Google Drive (document storage), Google Calendar (scheduling), and Google Meet (video calls).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$6/month for Google Workspace is one of the highest-ROI investments in the entire playbook. Every B2B email sent from @brandname.com is more credible than @gmail.com. Every press pitch from @brandname.com looks more professional. Every investor update from @brandname.com signals operational maturity.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 asset security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Store ALL brand assets (logo files, brand guidelines, photography, video, design templates) in a dedicated Google Drive folder with: organized subfolders (per P1B Section 8 brand assets), restricted sharing (view-only links for contractors, full access only for the founder), and version control (name files with dates: Logo_v2_2026-03-15.png). Backup: monthly export of the entire brand assets folder to a separate location (external drive or second cloud storage).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assets represent: hundreds of hours of creative development. Losing them to: accidental deletion, cloud storage failure, or unauthorized access would cost thousands of dollars to recreate. Protect them with the same diligence as financial records.</w:t>
            </w:r>
          </w:p>
        </w:tc>
      </w:tr>
    </w:tbl>
    <w:p>
      <w:r>
        <w:br w:type="page"/>
      </w:r>
    </w:p>
    <w:p>
      <w:pPr>
        <w:pStyle w:val="Heading1"/>
        <w:spacing w:before="360" w:after="200"/>
      </w:pPr>
      <w:r>
        <w:rPr>
          <w:rFonts w:ascii="Arial" w:cs="Arial" w:eastAsia="Arial" w:hAnsi="Arial"/>
        </w:rPr>
        <w:t xml:space="preserve">5. Trade Secrets: Documentation &amp; Protection</w:t>
      </w:r>
    </w:p>
    <w:p>
      <w:pPr>
        <w:spacing w:after="160"/>
      </w:pPr>
      <w:r>
        <w:rPr>
          <w:rFonts w:ascii="Arial" w:cs="Arial" w:eastAsia="Arial" w:hAnsi="Arial"/>
          <w:b/>
          <w:bCs/>
          <w:i w:val="false"/>
          <w:iCs w:val="false"/>
          <w:color w:val="000000"/>
          <w:sz w:val="22"/>
          <w:szCs w:val="22"/>
        </w:rPr>
        <w:t xml:space="preserve">Trade secrets protect information that gives the business a competitive advantage AND is kept confidential. </w:t>
      </w:r>
      <w:r>
        <w:rPr>
          <w:rFonts w:ascii="Arial" w:cs="Arial" w:eastAsia="Arial" w:hAnsi="Arial"/>
          <w:b w:val="false"/>
          <w:bCs w:val="false"/>
          <w:i w:val="false"/>
          <w:iCs w:val="false"/>
          <w:color w:val="000000"/>
          <w:sz w:val="22"/>
          <w:szCs w:val="22"/>
        </w:rPr>
        <w:t xml:space="preserve">Unlike trademarks and patents (which are publicly registered), trade secrets are protected through SECRECY. The moment a trade secret becomes public: it loses protection permanently. The protection measures below ensure: proprietary information stays confidential and is legally defensible if misappropriated.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qualifies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Trade secrets are: confidential business information that provides a competitive advantage. For this business: supplier names and contact details (Futamura, Parkside, ProAmpac per P3A), negotiated pricing tiers with factories (per P3A Section 4), B2B pricing structure and volume discount tiers (per P5A Section 3), B2B customer list and CRM data (race director contacts, deal history, preferences), material formulation specifications (NatureFlex NM 23µm + PLA spunbond 35gsm lamination per P2A), perforation pattern specifications (2mm/1mm, 3–5N per P2C), composting partner agreements and terms (per P4D), and financial models and projections (per P8A).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Protection measures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RESTRICT ACCESS: only share trade secret information with people who NEED it (suppliers get material specs but not pricing; ambassadors get product details but not supplier names). (2) LABEL DOCUMENTS: mark confidential documents with “CONFIDENTIAL — [BRAND] Trade Secret” headers. (3) USE NDAs: require NDAs before sharing trade secret information with: suppliers, potential partners, investors, consultants, and any contractor with access to proprietary data (NDA template in Section 6). (4) DIGITAL SECURITY: use strong passwords, 2FA on all accounts, and restricted sharing permissions on Google Drive. (5) EMPLOYEE/CONTRACTOR AGREEMENTS: include confidentiality and non-disclosure provisions in all contractor agreements (per P9D Section 2).</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Enforcement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a trade secret is misappropriated (a former contractor shares supplier information with a competitor, or an employee leaks pricing data): the business can pursue legal action under the Defend Trade Secrets Act (DTSA, federal) and state trade secret laws (most states have adopted the Uniform Trade Secrets Act). To SUCCEED in a trade secret claim: the business must prove: (A) the information was actually a secret (not publicly available), (B) reasonable measures were taken to protect it (NDAs, access restrictions, labeling), and (C) it was acquired through improper means (breach of NDA, theft, espionage). Documentation of protection measures (steps 1–5 above) is the FOUNDATION of any trade secret claim.</w:t>
            </w:r>
          </w:p>
        </w:tc>
      </w:tr>
    </w:tbl>
    <w:p>
      <w:r>
        <w:br w:type="page"/>
      </w:r>
    </w:p>
    <w:p>
      <w:pPr>
        <w:pStyle w:val="Heading1"/>
        <w:spacing w:before="360" w:after="200"/>
      </w:pPr>
      <w:r>
        <w:rPr>
          <w:rFonts w:ascii="Arial" w:cs="Arial" w:eastAsia="Arial" w:hAnsi="Arial"/>
        </w:rPr>
        <w:t xml:space="preserve">6. NDA Template</w:t>
      </w:r>
    </w:p>
    <w:p>
      <w:pPr>
        <w:spacing w:after="160"/>
      </w:pPr>
      <w:r>
        <w:rPr>
          <w:rFonts w:ascii="Arial" w:cs="Arial" w:eastAsia="Arial" w:hAnsi="Arial"/>
          <w:b/>
          <w:bCs/>
          <w:i w:val="false"/>
          <w:iCs w:val="false"/>
          <w:color w:val="000000"/>
          <w:sz w:val="22"/>
          <w:szCs w:val="22"/>
        </w:rPr>
        <w:t xml:space="preserve">The NDA (Non-Disclosure Agreement) is the legal tool that binds third parties to confidentiality. </w:t>
      </w:r>
      <w:r>
        <w:rPr>
          <w:rFonts w:ascii="Arial" w:cs="Arial" w:eastAsia="Arial" w:hAnsi="Arial"/>
          <w:b w:val="false"/>
          <w:bCs w:val="false"/>
          <w:i w:val="false"/>
          <w:iCs w:val="false"/>
          <w:color w:val="000000"/>
          <w:sz w:val="22"/>
          <w:szCs w:val="22"/>
        </w:rPr>
        <w:t xml:space="preserve">Without an NDA: information shared with a supplier, investor, or contractor has NO legal protection. The supplier could share material specs with a competitor, the investor could share the financial model with a competing portfolio company, or the contractor could use the brand’s customer list to launch their own business. The NDA makes these actions illegal and enforceable.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When to use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sharing confidential information with: potential manufacturing partners (during factory selection per P3A), potential investors (during fundraising per P8D), potential co-branding partners (during initial conversations per P5C), consultants and freelancers (before providing access to brand assets, pricing data, or customer information), and any other third party who will receive proprietary information.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Key provisions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DEFINITION OF CONFIDENTIAL INFORMATION: “All non-public information disclosed by [BRAND] including but not limited to: product designs, material specifications, manufacturing processes, pricing, customer lists, financial data, marketing strategies, and business plans.” (2) OBLIGATIONS: “Receiving Party shall: not disclose Confidential Information to any third party, use Confidential Information only for the purpose of evaluating or performing under the business relationship, and protect Confidential Information with at least the same degree of care as its own confidential information.” (3) EXCLUSIONS: information that is: publicly available, independently developed, or required to be disclosed by law. (4) TERM: 2–3 years from the date of disclosure (standard for business NDAs). (5) RETURN/DESTRUCTION: upon termination, the receiving party must return or destroy all Confidential Information and certify destruction in writing.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Template sources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Rocket Lawyer NDA template (customize online), Docracy (docracy.com, open-source legal templates), or SCORE (score.org, free business mentoring with template library). PAID: attorney-drafted NDA ($200–$500 one-time, then reusable). RECOMMENDATION: use a free template for most situations. Engage an attorney to review the NDA ONLY for: major investor conversations (where the NDA may need to be mutual — the investor also shares confidential information), international suppliers (where governing law and jurisdiction provisions matter), or potential acquisition/partnership discussions (where the scope of confidential information is broader).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Mutual vs. one-way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ONE-WAY NDA: the brand discloses, the other party protects. Use for: suppliers, contractors, and consultants. MUTUAL NDA: both parties disclose and protect each other’s information. Use for: investors (who share fund details and portfolio information), potential partners (who share their own business data), and co-branding discussions (where both parties share proprietary brand and product information). Most templates can be converted from one-way to mutual by adding reciprocal obligations.</w:t>
            </w:r>
          </w:p>
        </w:tc>
      </w:tr>
    </w:tbl>
    <w:p>
      <w:r>
        <w:br w:type="page"/>
      </w:r>
    </w:p>
    <w:p>
      <w:pPr>
        <w:pStyle w:val="Heading1"/>
        <w:spacing w:before="360" w:after="200"/>
      </w:pPr>
      <w:r>
        <w:rPr>
          <w:rFonts w:ascii="Arial" w:cs="Arial" w:eastAsia="Arial" w:hAnsi="Arial"/>
        </w:rPr>
        <w:t xml:space="preserve">7. IP Monitoring: Quarterly</w:t>
      </w:r>
    </w:p>
    <w:p>
      <w:pPr>
        <w:spacing w:after="160"/>
      </w:pPr>
      <w:r>
        <w:rPr>
          <w:rFonts w:ascii="Arial" w:cs="Arial" w:eastAsia="Arial" w:hAnsi="Arial"/>
          <w:b/>
          <w:bCs/>
          <w:i w:val="false"/>
          <w:iCs w:val="false"/>
          <w:color w:val="000000"/>
          <w:sz w:val="22"/>
          <w:szCs w:val="22"/>
        </w:rPr>
        <w:t xml:space="preserve">IP protection is not a one-time filing — it is an ONGOING process. </w:t>
      </w:r>
      <w:r>
        <w:rPr>
          <w:rFonts w:ascii="Arial" w:cs="Arial" w:eastAsia="Arial" w:hAnsi="Arial"/>
          <w:b w:val="false"/>
          <w:bCs w:val="false"/>
          <w:i w:val="false"/>
          <w:iCs w:val="false"/>
          <w:color w:val="000000"/>
          <w:sz w:val="22"/>
          <w:szCs w:val="22"/>
        </w:rPr>
        <w:t xml:space="preserve">A trademark that is registered but not monitored can be diluted by: competitors using similar names, counterfeiters selling knockoff products on Amazon, or domain squatters registering confusingly similar URLs. Quarterly monitoring detects these threats early, when they are cheapest to address (a cease-and-desist letter costs $500; a trademark opposition costs $3,000; a full trademark lawsuit costs $50,000+).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USPTO TESS monitoring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Quarterly: search USPTO TESS for: the brand name, phonetic variations, and key product terms (“compostable poncho,” “race warmth”). Look for: new applications in Class 25 or Class 24 that are confusingly similar. If a conflicting application is found: file an opposition during the 30-day opposition window (requires a trademark attorney, $300–$1,500).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Amazon competitive monitoring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search Amazon for: “compostable poncho,” “race start line warmth,” “sustainable race poncho.” Look for: new product listings that copy the brand’s: product title keywords, A+ Content structure, product images, or brand name/logo. If a counterfeit or infringing listing is found: report via Amazon Brand Registry IP violation reporting tool (requires Brand Registry). If Brand Registry is not yet active: report via Seller Central “Report a violation”.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Google Alerts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 up Google Alerts (google.com/alerts, free) for: the brand name (exact match), “compostable race poncho,” “sustainable marathon poncho,” and competitor brand names. Alerts are emailed daily or weekly when new web content matches the search terms. Use: to monitor for trademark infringement (someone using the brand name), competitive launches (new compostable poncho products), and press coverage (mentions of the brand or category).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media monitoring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search Instagram, TikTok, and Facebook for: the brand name, the branded hashtag (#RaceWarmLeaveNoTrace), and product-related terms. Look for: accounts impersonating the brand, unauthorized use of the brand’s photos or content, and competitors using confusingly similar branding. If infringement is found: report via each platform’s IP violation reporting form (Instagram: Help → Report → Intellectual Property; TikTok: IP Infringement Report Form; Facebook: IP Report Form).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Domain monitoring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Annually: check for: domains registered with the brand name or confusingly similar variations (brandname.net, brand-name.com, brandnameponcho.com). Tools: WhoisXML API (free basic search), or Namecheap domain search. If a squatter has registered a confusingly similar domain: options include: UDRP (Uniform Domain-Name Dispute-Resolution Policy) filing through WIPO ($1,500–$3,000 for single-domain dispute), direct negotiation with the registrant, or ignoring if the domain is not being used to compete or cause confusion.</w:t>
            </w:r>
          </w:p>
        </w:tc>
      </w:tr>
    </w:tbl>
    <w:p>
      <w:pPr>
        <w:spacing w:before="200"/>
      </w:pPr>
    </w:p>
    <w:p>
      <w:pPr>
        <w:pStyle w:val="Heading2"/>
        <w:spacing w:before="280" w:after="160"/>
      </w:pPr>
      <w:r>
        <w:rPr>
          <w:rFonts w:ascii="Arial" w:cs="Arial" w:eastAsia="Arial" w:hAnsi="Arial"/>
        </w:rPr>
        <w:t xml:space="preserve">7.1 IP Monitoring Calendar</w:t>
      </w:r>
    </w:p>
    <w:p>
      <w:pPr>
        <w:spacing w:after="160"/>
      </w:pPr>
      <w:r>
        <w:rPr>
          <w:rFonts w:ascii="Arial" w:cs="Arial" w:eastAsia="Arial" w:hAnsi="Arial"/>
          <w:b w:val="false"/>
          <w:bCs w:val="false"/>
          <w:i w:val="false"/>
          <w:iCs w:val="false"/>
          <w:color w:val="000000"/>
          <w:sz w:val="22"/>
          <w:szCs w:val="22"/>
        </w:rPr>
        <w:t xml:space="preserve">QUARTERLY (January, April, July, October): USPTO TESS search for conflicting marks (15 minutes). Amazon product search for knockoffs or infringing listings (15 minutes). Review Google Alerts for brand name mentions (5 minutes, alerts arrive automatically). Social media search for impersonation or unauthorized brand use (15 minutes). ANNUALLY: domain monitoring for squatted domains (10 minutes). TOTAL: 50 minutes per quarter + 10 minutes per year. The lowest-time-investment section in the entire playbook with some of the highest protection value.</w:t>
      </w:r>
    </w:p>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4–6: Conduct trademark search (USPTO TESS + Google + state databases). Secure domain name and ALL social media handles. Set up Google Workspace for professional email. If search is clear: file trademark application (TEAS Plus, $250 per class).</w:t>
      </w:r>
    </w:p>
    <w:p>
      <w:pPr>
        <w:spacing w:after="160"/>
      </w:pPr>
      <w:r>
        <w:rPr>
          <w:rFonts w:ascii="Arial" w:cs="Arial" w:eastAsia="Arial" w:hAnsi="Arial"/>
          <w:b/>
          <w:bCs/>
          <w:i w:val="false"/>
          <w:iCs w:val="false"/>
          <w:color w:val="000000"/>
          <w:sz w:val="22"/>
          <w:szCs w:val="22"/>
        </w:rPr>
        <w:t xml:space="preserve">WEEK 6–8: File trademark application for brand name in Class 25 (if not done in Week 4–6). Assess tagline for trademark viability (conflict analysis for “Leave No Trace”). Conduct prior art search for tear-away mechanism (Google Patents + product search). If novel: file provisional patent application ($150 USPTO + $500–$1,500 attorney = $650–$1,650).</w:t>
      </w:r>
    </w:p>
    <w:p>
      <w:pPr>
        <w:spacing w:after="160"/>
      </w:pPr>
      <w:r>
        <w:rPr>
          <w:rFonts w:ascii="Arial" w:cs="Arial" w:eastAsia="Arial" w:hAnsi="Arial"/>
          <w:b/>
          <w:bCs/>
          <w:i w:val="false"/>
          <w:iCs w:val="false"/>
          <w:color w:val="000000"/>
          <w:sz w:val="22"/>
          <w:szCs w:val="22"/>
        </w:rPr>
        <w:t xml:space="preserve">WEEK 8–10: Document all trade secrets (8 categories per Section 5). Create the NDA template (free template, customize, or attorney review $200–$500). Begin using NDAs with: suppliers (before sharing material specs), and any consultants/contractors with access to proprietary information.</w:t>
      </w:r>
    </w:p>
    <w:p>
      <w:pPr>
        <w:spacing w:after="160"/>
      </w:pPr>
      <w:r>
        <w:rPr>
          <w:rFonts w:ascii="Arial" w:cs="Arial" w:eastAsia="Arial" w:hAnsi="Arial"/>
          <w:b/>
          <w:bCs/>
          <w:i w:val="false"/>
          <w:iCs w:val="false"/>
          <w:color w:val="000000"/>
          <w:sz w:val="22"/>
          <w:szCs w:val="22"/>
        </w:rPr>
        <w:t xml:space="preserve">WEEK 10–12: Set up IP monitoring: Google Alerts (free, immediate), quarterly USPTO/Amazon/social monitoring reminders. Apply for Amazon Brand Registry via IP Accelerator ($600–$1,500) when Amazon launch timing aligns. Add “Patent Pending” to all marketing materials if provisional patent is filed. ONGOING: quarterly IP monitoring (50 minutes/quarter).</w:t>
      </w:r>
    </w:p>
    <w:p>
      <w:pPr>
        <w:spacing w:after="160"/>
      </w:pPr>
      <w:r>
        <w:rPr>
          <w:rFonts w:ascii="Arial" w:cs="Arial" w:eastAsia="Arial" w:hAnsi="Arial"/>
          <w:b w:val="false"/>
          <w:bCs w:val="false"/>
          <w:i w:val="false"/>
          <w:iCs w:val="false"/>
          <w:color w:val="000000"/>
          <w:sz w:val="22"/>
          <w:szCs w:val="22"/>
        </w:rPr>
        <w:t xml:space="preserve">BUDGET: Trademark filing (Class 25): $250–$350. Tagline trademark (if filed): $250–$350. Provisional patent: $650–$1,650. Amazon IP Accelerator: $600–$1,500. Domain registration: $8–$50/year. Google Workspace: $72/year ($6/month). NDA template (attorney review): $0–$500. Google Alerts: $0. TOTAL P9B: $1,830–$4,422. The trademark ($250–$350) is the MINIMUM viable IP investment. The provisional patent ($650–$1,650) is the highest-value optional investment.</w:t>
      </w:r>
    </w:p>
    <w:p>
      <w:r>
        <w:br w:type="page"/>
      </w:r>
    </w:p>
    <w:p>
      <w:pPr>
        <w:pStyle w:val="Heading1"/>
        <w:spacing w:before="360" w:after="200"/>
      </w:pPr>
      <w:r>
        <w:rPr>
          <w:rFonts w:ascii="Arial" w:cs="Arial" w:eastAsia="Arial" w:hAnsi="Arial"/>
        </w:rPr>
        <w:t xml:space="preserve">9. Conclusion: IP Is the Moat</w:t>
      </w:r>
    </w:p>
    <w:p>
      <w:pPr>
        <w:spacing w:after="160"/>
      </w:pPr>
      <w:r>
        <w:rPr>
          <w:rFonts w:ascii="Arial" w:cs="Arial" w:eastAsia="Arial" w:hAnsi="Arial"/>
          <w:b/>
          <w:bCs/>
          <w:i w:val="false"/>
          <w:iCs w:val="false"/>
          <w:color w:val="000000"/>
          <w:sz w:val="22"/>
          <w:szCs w:val="22"/>
        </w:rPr>
        <w:t xml:space="preserve">A competitor who launches a compostable poncho in Year 2 will face: </w:t>
      </w:r>
      <w:r>
        <w:rPr>
          <w:rFonts w:ascii="Arial" w:cs="Arial" w:eastAsia="Arial" w:hAnsi="Arial"/>
          <w:b w:val="false"/>
          <w:bCs w:val="false"/>
          <w:i w:val="false"/>
          <w:iCs w:val="false"/>
          <w:color w:val="000000"/>
          <w:sz w:val="22"/>
          <w:szCs w:val="22"/>
        </w:rPr>
        <w:t xml:space="preserve">a registered trademark that prevents them from using a confusingly similar brand name, a “Patent Pending” tear-away design that creates legal risk if they copy it, an Amazon Brand Registry that enables IP violation reporting against knockoff listings, a trade secret portfolio that keeps supplier pricing, customer data, and composting partnerships confidential, and 12+ months of brand equity (reviews, press coverage, race director relationships) that cannot be replicated by spending money. The IP protections in this document don’t just defend the brand — they create the conditions for the brand to win long-term.</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2026-04-01T05:08:13.793Z</dcterms:created>
  <dcterms:modified xsi:type="dcterms:W3CDTF">2026-04-01T05:08:13.794Z</dcterms:modified>
</cp:coreProperties>
</file>

<file path=docProps/custom.xml><?xml version="1.0" encoding="utf-8"?>
<Properties xmlns="http://schemas.openxmlformats.org/officeDocument/2006/custom-properties" xmlns:vt="http://schemas.openxmlformats.org/officeDocument/2006/docPropsVTypes"/>
</file>