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P9D: CONTRACTS &amp;</w:t>
      </w:r>
    </w:p>
    <w:p>
      <w:pPr>
        <w:spacing w:after="200"/>
        <w:jc w:val="center"/>
      </w:pPr>
      <w:r>
        <w:rPr>
          <w:rFonts w:ascii="Arial" w:cs="Arial" w:eastAsia="Arial" w:hAnsi="Arial"/>
          <w:b/>
          <w:bCs/>
          <w:color w:val="1B3A6B"/>
          <w:sz w:val="44"/>
          <w:szCs w:val="44"/>
        </w:rPr>
        <w:t xml:space="preserve">AGREEMENTS</w:t>
      </w:r>
    </w:p>
    <w:p>
      <w:pPr>
        <w:pBdr>
          <w:bottom w:val="single" w:color="2E5090" w:sz="6" w:space="12"/>
        </w:pBdr>
        <w:spacing w:after="100"/>
        <w:jc w:val="center"/>
      </w:pPr>
      <w:r>
        <w:rPr>
          <w:rFonts w:ascii="Arial" w:cs="Arial" w:eastAsia="Arial" w:hAnsi="Arial"/>
          <w:color w:val="666666"/>
          <w:sz w:val="24"/>
          <w:szCs w:val="24"/>
        </w:rPr>
        <w:t xml:space="preserve">Sub-Project P9D  |  Legal, Compliance &amp; Sustainability Certs  |  Weeks 6–12</w:t>
      </w:r>
    </w:p>
    <w:p>
      <w:pPr>
        <w:spacing w:before="400"/>
        <w:jc w:val="center"/>
      </w:pPr>
      <w:r>
        <w:rPr>
          <w:rFonts w:ascii="Arial" w:cs="Arial" w:eastAsia="Arial" w:hAnsi="Arial"/>
          <w:i/>
          <w:iCs/>
          <w:color w:val="888888"/>
          <w:sz w:val="22"/>
          <w:szCs w:val="22"/>
        </w:rPr>
        <w:t xml:space="preserve">Complete Contract Templates: B2B Terms &amp; Conditions (8 Clauses), Ambassador Agreement (6 Provisions), Supplier Agreement (6 Clauses), Pilot Race Agreement (6 Sections), Platform TOS Compliance, and Website Legal Pages (4 Policies)</w:t>
      </w:r>
    </w:p>
    <w:p>
      <w:pPr>
        <w:spacing w:before="600"/>
        <w:jc w:val="center"/>
      </w:pPr>
      <w:r>
        <w:rPr>
          <w:rFonts w:ascii="Arial" w:cs="Arial" w:eastAsia="Arial" w:hAnsi="Arial"/>
          <w:color w:val="888888"/>
          <w:sz w:val="22"/>
          <w:szCs w:val="22"/>
        </w:rPr>
        <w:t xml:space="preserve">March 2026  |  Confidential  |  NOT LEGAL ADVICE — Consult an Attorney</w:t>
      </w:r>
    </w:p>
    <w:p>
      <w:pPr>
        <w:shd w:val="clear" w:color="auto" w:fill="E0F2F1"/>
        <w:spacing w:after="160"/>
      </w:pPr>
      <w:r>
        <w:rPr>
          <w:b/>
          <w:color w:val="00695C"/>
          <w:sz w:val="22"/>
          <w:rFonts w:ascii="Arial" w:hAnsi="Arial"/>
        </w:rPr>
        <w:t xml:space="preserve">CROSS-REFERENCE: </w:t>
      </w:r>
      <w:r>
        <w:rPr>
          <w:i/>
          <w:sz w:val="22"/>
          <w:rFonts w:ascii="Arial" w:hAnsi="Arial"/>
        </w:rPr>
        <w:t xml:space="preserve">This section covers the LEGAL AGREEMENT FRAMEWORK for pilot races (6 contract sections: scope, pricing, data collection, composting, exclusivity, case study rights). For the OPERATIONAL EXECUTION of the pilot — including: race-day logistics, volunteer coordination, runner survey protocols, data collection procedures, post-race debrief process, and case study production workflow — see P5B Pilot Race Execution. Both documents should be used together: P9D defines what is agreed; P5B defines how it is executed.</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Contracts define the rules of every business relationship. </w:t>
      </w:r>
      <w:r>
        <w:rPr>
          <w:rFonts w:ascii="Arial" w:cs="Arial" w:eastAsia="Arial" w:hAnsi="Arial"/>
          <w:b w:val="false"/>
          <w:bCs w:val="false"/>
          <w:i w:val="false"/>
          <w:iCs w:val="false"/>
          <w:color w:val="000000"/>
          <w:sz w:val="22"/>
          <w:szCs w:val="22"/>
        </w:rPr>
        <w:t xml:space="preserve">Without written contracts: every agreement is verbal, every expectation is assumed, and every dispute is unprovable. A race director who claims “you promised free shipping” has no written record to contradict. A supplier who delivers substandard quality has no specification to violate. An ambassador who posts misleading claims has no compliance obligation to breach. Contracts transform: assumptions into agreements, expectations into obligations, and disputes into resolvable conflicts with clear remedies.</w:t>
      </w:r>
    </w:p>
    <w:p>
      <w:pPr>
        <w:spacing w:after="160"/>
      </w:pPr>
      <w:r>
        <w:rPr>
          <w:rFonts w:ascii="Arial" w:cs="Arial" w:eastAsia="Arial" w:hAnsi="Arial"/>
          <w:b/>
          <w:bCs/>
          <w:i w:val="false"/>
          <w:iCs w:val="false"/>
          <w:color w:val="000000"/>
          <w:sz w:val="22"/>
          <w:szCs w:val="22"/>
        </w:rPr>
        <w:t xml:space="preserve">This document provides 6 contract frameworks: </w:t>
      </w:r>
      <w:r>
        <w:rPr>
          <w:rFonts w:ascii="Arial" w:cs="Arial" w:eastAsia="Arial" w:hAnsi="Arial"/>
          <w:b w:val="false"/>
          <w:bCs w:val="false"/>
          <w:i w:val="false"/>
          <w:iCs w:val="false"/>
          <w:color w:val="000000"/>
          <w:sz w:val="22"/>
          <w:szCs w:val="22"/>
        </w:rPr>
        <w:t xml:space="preserve">(1) B2B terms and conditions covering orders, payment, delivery, returns, liability, logo usage, and termination, (2) an ambassador agreement covering content expectations, FTC disclosure, IP rights, compensation, and termination, (3) a supplier agreement covering quality standards, IP protection, confidentiality, exclusivity, and indemnification, (4) a pilot race agreement covering scope, pricing, data collection, composting commitment, exclusivity, and case study rights, (5) platform TOS compliance review for Amazon and Shopify, and (6) website legal pages for Terms of Service, Privacy Policy, Return Policy, and Environmental Claims Disclaimer.</w:t>
      </w:r>
    </w:p>
    <w:p>
      <w:pPr>
        <w:spacing w:after="160"/>
      </w:pPr>
      <w:r>
        <w:rPr>
          <w:rFonts w:ascii="Arial" w:cs="Arial" w:eastAsia="Arial" w:hAnsi="Arial"/>
          <w:b/>
          <w:bCs/>
          <w:i w:val="false"/>
          <w:iCs w:val="false"/>
          <w:color w:val="CC0000"/>
          <w:sz w:val="22"/>
          <w:szCs w:val="22"/>
        </w:rPr>
        <w:t xml:space="preserve">DISCLAIMER: </w:t>
      </w:r>
      <w:r>
        <w:rPr>
          <w:rFonts w:ascii="Arial" w:cs="Arial" w:eastAsia="Arial" w:hAnsi="Arial"/>
          <w:b w:val="false"/>
          <w:bCs w:val="false"/>
          <w:i/>
          <w:iCs/>
          <w:color w:val="000000"/>
          <w:sz w:val="22"/>
          <w:szCs w:val="22"/>
        </w:rPr>
        <w:t xml:space="preserve">These contract frameworks are educational outlines, NOT ready-to-sign legal documents. Each contract should be drafted or reviewed by a qualified attorney before use. Contract law varies by state, and template contracts from the internet may not comply with the specific legal requirements of the founder’s jurisdiction.</w:t>
      </w:r>
    </w:p>
    <w:p>
      <w:r>
        <w:br w:type="page"/>
      </w:r>
    </w:p>
    <w:p>
      <w:pPr>
        <w:pStyle w:val="Heading1"/>
        <w:spacing w:before="360" w:after="200"/>
      </w:pPr>
      <w:r>
        <w:rPr>
          <w:rFonts w:ascii="Arial" w:cs="Arial" w:eastAsia="Arial" w:hAnsi="Arial"/>
        </w:rPr>
        <w:t xml:space="preserve">1. B2B Terms &amp; Conditions: 8 Clauses</w:t>
      </w:r>
    </w:p>
    <w:p>
      <w:pPr>
        <w:spacing w:after="160"/>
      </w:pPr>
      <w:r>
        <w:rPr>
          <w:rFonts w:ascii="Arial" w:cs="Arial" w:eastAsia="Arial" w:hAnsi="Arial"/>
          <w:b/>
          <w:bCs/>
          <w:i w:val="false"/>
          <w:iCs w:val="false"/>
          <w:color w:val="000000"/>
          <w:sz w:val="22"/>
          <w:szCs w:val="22"/>
        </w:rPr>
        <w:t xml:space="preserve">The B2B terms and conditions govern every sale to a race director or event organizer. </w:t>
      </w:r>
      <w:r>
        <w:rPr>
          <w:rFonts w:ascii="Arial" w:cs="Arial" w:eastAsia="Arial" w:hAnsi="Arial"/>
          <w:b w:val="false"/>
          <w:bCs w:val="false"/>
          <w:i w:val="false"/>
          <w:iCs w:val="false"/>
          <w:color w:val="000000"/>
          <w:sz w:val="22"/>
          <w:szCs w:val="22"/>
        </w:rPr>
        <w:t xml:space="preserve">They are: attached to or referenced in every PO acceptance, included in the race director onboarding guide (P5F Section 2), and published on brand.com/b2b/terms for reference. The terms protect against: payment default, delivery disputes, defect claims, logo misuse, and catastrophic liability exposure.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Clause</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Language Summary</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Orders &amp; acceptance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orders are subject to acceptance by [BRAND]. A purchase order becomes binding upon: (A) written acceptance by [BRAND] via email, or (B) commencement of production. [BRAND] reserves the right to decline any order for any reason including: insufficient inventory, credit concerns, or order quantities below the 500-unit minimum order quantity (MOQ).</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acceptance clause protects against: being contractually obligated to fulfill an order the brand cannot deliver (inventory shortage, production delay) or an order from a customer with poor credit history.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 &amp; payment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Pricing: per the current published price list or as specified in the accepted PO. Prices are subject to change with 30 days written notice for future orders. Payment terms: 50% deposit due within 5 business days of PO acceptance (first order) or 30% deposit (repeat orders with clean payment history). Balance due: on shipment date (50/50 terms) or net-30 from shipment (30/70 terms). Late payment: overdue balances accrue interest at 1.5% per month (18% annually). Orders may be held or cancelled if deposit is not received within 10 business days of PO acceptance.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Payment terms align with P4C Section 2 (invoicing) and P5F Section 1 (order management). The 1.5%/month interest clause incentivizes timely payment but is rarely enforced — it exists to provide leverage in escalation conversations.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Delivery &amp; shipping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Delivery dates are estimates, not guarantees. [BRAND] will use commercially reasonable efforts to meet estimated delivery dates. Shipping terms: FOB origin (title and risk transfer to buyer at point of shipment). Buyer is responsible for: providing accurate delivery address, being available to receive shipment, and inspecting goods within 5 business days of receipt. Shipping costs: included in unit pricing for orders ≥1,000 units; additional $0.10–$0.30/unit for orders &lt;1,000 units.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FOB origin means: once the product ships, the BUYER bears the risk of loss/damage in transit. This protects the brand from: transit damage claims, carrier delays, and lost shipments. The buyer should insure their own shipment or request the brand to add insurance (at buyer’s cost).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Returns &amp; defects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Defective goods: [BRAND] will replace or refund defective units reported within 30 days of delivery. Defects include: manufacturing defects (seal failure, print misalignment, perforation failure), material defects (holes, tears, discoloration), and packaging defects (damaged inner bags, missing labels). NOT defective: normal wear from use, damage caused by improper storage (heat, moisture), or units used as intended (ponchos that have been worn and torn are not defective). Return process: buyer contacts [BRAND] with photos of defective units. [BRAND] issues a return authorization number. Defective units are returned at [BRAND]’s expense. Replacement or refund issued within 10 business days of receipt of returned goods.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defect definition is NARROW and SPECIFIC: it covers manufacturing and material problems, NOT product dissatisfaction or post-use condition. This prevents: race directors returning used ponchos claiming “defective” and protects the brand from frivolous return claims on B2B bulk orders.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Liability limitation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[BRAND]’s total liability under this agreement shall not exceed: the total amount paid by the buyer for the specific order giving rise to the claim. [BRAND] is not liable for: consequential, incidental, special, or punitive damages, including but not limited to: lost profits, lost revenue, business interruption, or reputational harm. This limitation applies regardless of the form of action (contract, tort, negligence, strict liability, or otherwise).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liability cap ($X = order value) protects the brand from: catastrophic claims that exceed the order’s revenue. Example: a race director claims the ponchos “failed” and caused reputational damage worth $500,000. Without a liability cap: the brand is exposed to the full $500K claim. With the cap: liability is limited to the order value ($5,000–$20,000 typically).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logo usage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Buyer grants [BRAND] a non-exclusive license to: display the buyer’s race logo on co-branded ponchos as specified in the approved mockup. [BRAND] grants buyer a non-exclusive license to: use [BRAND]’s logo in race communications referencing the poncho partnership. Both parties may use the other’s logo in: press releases, social media, and marketing materials ONLY in connection with the poncho partnership. Neither party may: modify the other’s logo, use it in a manner that implies endorsement beyond the poncho partnership, or sublicense logo usage to third parties.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mutual logo license is essential for co-brand operations (P3C) and for the brand’s ability to reference the race partnership in marketing (P5B case studies, P7C PR). Without explicit license: using the race’s logo could be a trademark violation.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Termination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Either party may terminate this agreement: with 30 days written notice for future orders (does not affect orders already in production or shipped). Immediate termination: if the other party materially breaches the agreement and fails to cure within 15 days of written notice. Upon termination: buyer pays for all goods produced or in production; [BRAND] delivers all completed goods; any prepaid amounts for undelivered goods are refunded within 30 days.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termination clause provides a clean exit for both parties. The “pay for goods in production” clause protects the brand from: a race director cancelling a co-brand order AFTER the brand has purchased materials and begun production.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Governing law + dispute resolution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agreement is governed by the laws of [Founder’s State]. Any dispute shall be resolved through: good-faith negotiation (30 days), then mediation (60 days, mediator mutually agreed), then binding arbitration under the rules of the American Arbitration Association. Arbitration shall take place in [Founder’s City, State]. Each party bears its own costs; the prevailing party in arbitration is entitled to reasonable attorney’s fees.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Arbitration is faster and cheaper than litigation. Including the dispute resolution ladder (negotiate → mediate → arbitrate) ensures: most disputes are resolved informally without legal costs. The governing law and venue clause prevents: the brand from being dragged into a distant jurisdiction by a race director in another state.</w:t>
            </w:r>
          </w:p>
        </w:tc>
      </w:tr>
    </w:tbl>
    <w:p>
      <w:r>
        <w:br w:type="page"/>
      </w:r>
    </w:p>
    <w:p>
      <w:pPr>
        <w:pStyle w:val="Heading1"/>
        <w:spacing w:before="360" w:after="200"/>
      </w:pPr>
      <w:r>
        <w:rPr>
          <w:rFonts w:ascii="Arial" w:cs="Arial" w:eastAsia="Arial" w:hAnsi="Arial"/>
        </w:rPr>
        <w:t xml:space="preserve">2. Ambassador Agreement: 6 Provisions</w:t>
      </w:r>
    </w:p>
    <w:p>
      <w:pPr>
        <w:spacing w:after="160"/>
      </w:pPr>
      <w:r>
        <w:rPr>
          <w:rFonts w:ascii="Arial" w:cs="Arial" w:eastAsia="Arial" w:hAnsi="Arial"/>
          <w:b/>
          <w:bCs/>
          <w:i w:val="false"/>
          <w:iCs w:val="false"/>
          <w:color w:val="000000"/>
          <w:sz w:val="22"/>
          <w:szCs w:val="22"/>
        </w:rPr>
        <w:t xml:space="preserve">The ambassador agreement balances: clear expectations with authentic relationships. </w:t>
      </w:r>
      <w:r>
        <w:rPr>
          <w:rFonts w:ascii="Arial" w:cs="Arial" w:eastAsia="Arial" w:hAnsi="Arial"/>
          <w:b w:val="false"/>
          <w:bCs w:val="false"/>
          <w:i w:val="false"/>
          <w:iCs w:val="false"/>
          <w:color w:val="000000"/>
          <w:sz w:val="22"/>
          <w:szCs w:val="22"/>
        </w:rPr>
        <w:t xml:space="preserve">Too formal and the ambassador feels like an employee. Too informal and there is no protection for: FTC compliance, content rights, or code misuse. The agreement below is designed to be: 1–2 pages, written in plain language, and signable via email (“I agree to the terms” reply is sufficient for Tier 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Language Summary</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Program description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Ambassador agrees to: use [BRAND] products and create social media content about their experience. This is a PARTNERSHIP, not an employment relationship. Ambassador is an independent contractor and is solely responsible for their own taxes, insurance, and compliance with applicable laws.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independent contractor classification is essential. If ambassadors are classified as employees: the brand owes payroll taxes, benefits, and employment protections. The agreement should clearly state: no employment relationship, no guaranteed compensation, and no exclusivity.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Content expectations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Ambassador is encouraged (but not required) to create: 1–3 social media posts per race season showcasing [BRAND] products. Suggested content types: unboxing, race-day use, and composting follow-up (per P7A Section 3 content brief). Ambassador retains full creative control over content style, voice, and messaging. [BRAND] may suggest topics, hashtags, and talking points but does not dictate or approve content before publication.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“encouraged but not required” language is critical. If content is REQUIRED: the relationship looks more like employment (IRS scrutiny) and the content feels forced (audience detects inauthenticity). The brief SUGGESTS; the ambassador DECIDES.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FTC disclosure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Ambassador must comply with FTC Endorsement Guides: clearly and conspicuously disclose the material connection with [BRAND] in EVERY post mentioning the product. Acceptable disclosures: #ad, #sponsored, #gifted, Instagram’s “Paid partnership” tag, or TikTok’s “Branded content” toggle. The disclosure must be: visible without clicking “more,” not buried among 30 hashtags, and in the SAME language as the post.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FTC compliance is NON-NEGOTIABLE. The FTC holds BOTH the brand AND the endorser responsible for non-disclosure. Fines: $10K–$50K+ per violation. Include: specific examples of compliant disclosures in the agreement and content brief.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IP and content rights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Ambassador grants [BRAND] a non-exclusive, royalty-free, worldwide license to: use, reproduce, modify, and display content created as part of the ambassador program for marketing purposes across all channels (social media, website, advertising, packaging, B2B materials), with attribution to the ambassador. Ambassador retains ownership of their content and may: post it on their own channels, remove it from their own channels, and use it for their own purposes. [BRAND] will credit the ambassador when using their content (e.g., “Photo by @ambassadorhandle”).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license is NON-EXCLUSIVE (the ambassador keeps their rights) and ROYALTY-FREE (the brand doesn’t pay per use). Attribution is a COURTESY that builds goodwill, not a legal requirement of the license — but including it in the agreement signals respect for the ambassador’s work.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Compensation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Tier 1: free product (3-pack per season), 20% personal discount code, 10% sharing code (10 cards). Tier 2: free product (6-pack per season), 25% personal code, 15% sharing code, potential paid content ($50–$200 per dedicated post/video, negotiated separately per deliverable). NO guaranteed compensation beyond free product. Discount codes are personal and may not be resold, distributed commercially, or shared on public coupon websites.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compensation section prevents: disputes about what was promised. Free product is the BASE; paid content is OPTIONAL and separately negotiated. The coupon-site prohibition prevents: discount code abuse that erodes margin.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Term and termination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agreement is effective for one race season (approximately 6 months) and renews automatically unless: either party gives 14 days written notice of non-renewal. Either party may terminate at any time for any reason with 14 days written notice. Upon termination: ambassador keeps all product received; [BRAND]’s content license survives termination (the brand may continue to use content created during the partnership); discount codes are deactivated within 7 days.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low-friction termination (14 days, no penalty) ensures: neither party feels trapped. The surviving content license ensures: the brand doesn’t lose access to UGC it has already incorporated into marketing materials. The code deactivation prevents: former ambassadors distributing codes after the relationship ends.</w:t>
            </w:r>
          </w:p>
        </w:tc>
      </w:tr>
    </w:tbl>
    <w:p>
      <w:r>
        <w:br w:type="page"/>
      </w:r>
    </w:p>
    <w:p>
      <w:pPr>
        <w:pStyle w:val="Heading1"/>
        <w:spacing w:before="360" w:after="200"/>
      </w:pPr>
      <w:r>
        <w:rPr>
          <w:rFonts w:ascii="Arial" w:cs="Arial" w:eastAsia="Arial" w:hAnsi="Arial"/>
        </w:rPr>
        <w:t xml:space="preserve">3. Supplier Agreement: 6 Clauses</w:t>
      </w:r>
    </w:p>
    <w:p>
      <w:pPr>
        <w:spacing w:after="160"/>
      </w:pPr>
      <w:r>
        <w:rPr>
          <w:rFonts w:ascii="Arial" w:cs="Arial" w:eastAsia="Arial" w:hAnsi="Arial"/>
          <w:b/>
          <w:bCs/>
          <w:i w:val="false"/>
          <w:iCs w:val="false"/>
          <w:color w:val="000000"/>
          <w:sz w:val="22"/>
          <w:szCs w:val="22"/>
        </w:rPr>
        <w:t xml:space="preserve">The supplier agreement protects the brand’s most critical operational relationship. </w:t>
      </w:r>
      <w:r>
        <w:rPr>
          <w:rFonts w:ascii="Arial" w:cs="Arial" w:eastAsia="Arial" w:hAnsi="Arial"/>
          <w:b w:val="false"/>
          <w:bCs w:val="false"/>
          <w:i w:val="false"/>
          <w:iCs w:val="false"/>
          <w:color w:val="000000"/>
          <w:sz w:val="22"/>
          <w:szCs w:val="22"/>
        </w:rPr>
        <w:t xml:space="preserve">The factory that produces the poncho has access to: product designs, material specifications, production processes, and brand artwork. Without contractual protection: the factory could produce identical ponchos for a competitor, share specifications with other brands, or deliver substandard quality with no contractual accountability.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Clause</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Language Summary</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Quality standards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Supplier shall produce goods in accordance with: the approved product specification (P2B technical spec), the approved golden sample (P3A Section 3), and the quality inspection checklist (P3A Section 5). Goods must meet: BPI/ASTM D6400 compostability requirements, specified material composition (NatureFlex NM 23µm + PLA spunbond 35gsm), specified dimensions (±2% tolerance), and specified tear-away force (3–5N per P2C). [BRAND] may inspect goods at: the factory during production (pre-shipment inspection) and upon receipt (incoming inspection per P4A Section 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quality standards clause ties the supplier to: SPECIFIC, MEASURABLE requirements. If the supplier delivers ponchos with 8N tear force (too hard to tear): the brand has a contractual basis to reject the shipment or demand rework. Without specific standards: the supplier can argue “the goods are acceptable” and the brand has no recourse.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IP protection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Supplier agrees that: all product designs, specifications, artwork, and brand materials provided by [BRAND] are confidential and proprietary. Supplier shall not: manufacture the same or substantially similar product for any third party, share [BRAND]’s designs or specifications with any third party, or use [BRAND]’s brand name, logo, or other IP for any purpose other than fulfilling [BRAND]’s orders. This obligation survives termination of the agreement for 3 years.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clause prevents the MOST COMMON IP risk with overseas manufacturers: the factory takes the brand’s design and sells identical products to competitors or directly on Amazon under a different brand. The 3-year survival ensures: even after the brand switches factories, the old factory cannot immediately produce copies.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Confidentiality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Supplier agrees to: maintain the confidentiality of all [BRAND] proprietary information including: product specifications, material formulations, pricing, order volumes, customer information, and business plans. Confidential information may not be disclosed to: supplier’s employees beyond those directly involved in production, any third party, or any competitor of [BRAND].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Works in conjunction with the NDA (P9B Section 6). The supplier agreement’s confidentiality clause provides CONTRACTUAL protection (breach of contract claim) in addition to the NDA’s protection (trade secret misappropriation claim). Double protection for the brand’s most sensitive information.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Exclusivity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A (preferred): supplier agrees to an EXCLUSIVE manufacturing arrangement for compostable race ponchos in the US market. Supplier will not produce: the same or substantially similar product for any brand competing in the US marathon/race market. OPTION B (realistic): if the supplier will not agree to exclusivity: request a NON-COMPETE for the specific product category (“compostable warmth ponchos for athletic events”) for 12–24 months, with the right to renegotiate at each order renewal.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exclusivity is IDEAL but may be unrealistic with major converters (Parkside, ProAmpac) who serve many clients. The category-specific non-compete is a practical middle ground: the supplier can make other products for other clients but cannot produce the SAME product for a direct competitor.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Pricing and terms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Pricing: as specified in the accepted PO or annual pricing agreement. Supplier guarantees pricing for: 6 months from PO acceptance (protecting against mid-order price increases). Payment: per P3A Section 4 negotiated terms (typically 30% deposit, 70% before shipment, or LC at sight). Annual pricing review: supplier provides Year 2 pricing 90 days before the first Year 2 PO, allowing the brand to: negotiate, accept, or seek alternative suppliers.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6-month price guarantee protects against: mid-season price increases due to raw material cost spikes or currency fluctuations. The 90-day advance notice for Year 2 pricing gives the brand time to: compare quotes from backup suppliers (ProAmpac per P3A Section 1) and negotiate from a position of information.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Liability and indemnification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Supplier indemnifies [BRAND] against: any claims, damages, or losses arising from: defective goods, goods that do not meet the specified quality standards, goods that fail to meet compostability certification requirements, and any IP infringement claims related to the supplier’s manufacturing process. [BRAND]’s liability to supplier is limited to: payment for accepted goods per the agreed pricing and terms.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indemnification clause shifts product-quality risk to the supplier: if defective ponchos cause customer complaints, product recalls, or BPI certification issues, the SUPPLIER bears the cost — not the brand. This is standard in manufacturing agreements and protects the brand from: financial exposure caused by factory quality failures.</w:t>
            </w:r>
          </w:p>
        </w:tc>
      </w:tr>
    </w:tbl>
    <w:p>
      <w:r>
        <w:br w:type="page"/>
      </w:r>
    </w:p>
    <w:p>
      <w:pPr>
        <w:pStyle w:val="Heading1"/>
        <w:spacing w:before="360" w:after="200"/>
      </w:pPr>
      <w:r>
        <w:rPr>
          <w:rFonts w:ascii="Arial" w:cs="Arial" w:eastAsia="Arial" w:hAnsi="Arial"/>
        </w:rPr>
        <w:t xml:space="preserve">4. Pilot Race Agreement: 6 Sections</w:t>
      </w:r>
    </w:p>
    <w:p>
      <w:pPr>
        <w:spacing w:after="160"/>
      </w:pPr>
      <w:r>
        <w:rPr>
          <w:rFonts w:ascii="Arial" w:cs="Arial" w:eastAsia="Arial" w:hAnsi="Arial"/>
          <w:b/>
          <w:bCs/>
          <w:i w:val="false"/>
          <w:iCs w:val="false"/>
          <w:color w:val="000000"/>
          <w:sz w:val="22"/>
          <w:szCs w:val="22"/>
        </w:rPr>
        <w:t xml:space="preserve">The pilot agreement is the foundation of the B2B relationship. </w:t>
      </w:r>
      <w:r>
        <w:rPr>
          <w:rFonts w:ascii="Arial" w:cs="Arial" w:eastAsia="Arial" w:hAnsi="Arial"/>
          <w:b w:val="false"/>
          <w:bCs w:val="false"/>
          <w:i w:val="false"/>
          <w:iCs w:val="false"/>
          <w:color w:val="000000"/>
          <w:sz w:val="22"/>
          <w:szCs w:val="22"/>
        </w:rPr>
        <w:t xml:space="preserve">It defines: what the brand provides (product, logistics, composting), what the race director provides (access, communication, volunteer support), and what the brand RETAINS (data, photos, case study rights). The case study rights clause is the most valuable provision in the entire contract portfolio: a single pilot case study generates $5,000–$20,000 in marketing value and closes the next 5–10 B2B deals.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Language Summary</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agrees to provide: [X] compostable warmth ponchos for distribution at the start line of [Race Name] on [Date]. [BRAND] provides: product delivery to the race venue per P4C Section 3, composting bin placement and signage per P4D Section 3, composting facility coordination and pickup, and post-race composting verification report within 30 days. Race Director agrees to: allow distribution of ponchos at the designated start-line area, provide reasonable access for composting bin placement, include [BRAND] in pre-race communications to runners (optional but requested), and participate in a post-race debrief within 14 days.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scope clause ensures: both parties know exactly what to expect. The race director provides: access and communication support. The brand provides: product, logistics, and composting. Both are clearly defined.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 (pilot)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Pilot pricing: $[X] per unit (“pilot rate” — typically 15–25% below standard B2B pricing to incentivize the first order per P5B Section 1). Payment terms: 50% deposit at PO acceptance, 50% balance on delivery. Pilot pricing is available for: the first order only. Subsequent orders revert to standard B2B pricing.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pilot discount is an INVESTMENT in the case study and the long-term relationship. The terms explicitly state: pilot pricing is one-time only. This prevents: race directors expecting permanent pilot-rate pricing.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Data collection rights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retains the right to: collect data at the race event including: poncho distribution count, start-line collection count, runner feedback (verbal or survey), photographs and video of ponchos in use at the start line and composting operations, and composting facility weight verification. Race Director grants [BRAND] permission to: use event photographs, data, and the race name in marketing materials including: case studies, website content, social media, press releases, B2B pitch materials, and investor presentations.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data collection rights clause is ESSENTIAL for: building case studies (P5B Section 6), creating marketing content (P7B race-day content), PR (P7C pilot race press coverage), and B2B sales (showing other race directors the proof). Without explicit permission: using the race’s name and photos in marketing materials could violate the race’s IP rights.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Composting commitment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commits to: composting all collected ponchos at a certified commercial composting facility within [City/Region]. [BRAND] provides: a post-race composting verification report including: total weight collected, composting facility name and location, composting timeline, and verification that materials were processed according to ASTM D6400 standards. Race Director agrees to: support composting collection efforts by: allowing bin placement at designated start-line areas, including composting instructions in pre-race runner communications (optional), and providing volunteer support for collection (1 volunteer per 3–5 bins recommended per P4D Section 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composting commitment is the brand’s unique value proposition vs. Heatsheets or garbage bags. It transforms the poncho from: “a product the race buys” to “a sustainability SERVICE the race partners on.” The verification report is the PROOF that the promise was delivered.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Exclusivity (pilot)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During the pilot race event: [BRAND] is the exclusive provider of compostable warmth products for the start line. The Race Director agrees not to: distribute competing compostable warmth products at the same event. This exclusivity applies only to: the specific race date and start-line location. It does NOT prevent the Race Director from: using other brands at different events, using non-compostable alternatives (garbage bags, Heatsheets) at the same event (recognizing the transition may be gradual), or evaluating other compostable products for future events.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limited exclusivity protects the pilot’s integrity: if the race director distributes 2 competing compostable ponchos at the same event, the data is contaminated and the case study is weakened. The carve-out for non-compostable alternatives is realistic: most races will not go 100% compostable in the first year.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Case study rights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retains the right to: create and publish a case study based on the pilot race, including: race name, race date, distribution data, composting data, runner feedback quotes, race director quotes (with approval), and race-day photographs. The case study may be used for: website publication, B2B sales materials, press releases, investor presentations, and award submissions. Race Director has the right to: review and approve the case study before publication (5 business day review period; no response = approval). Race Director may request: removal of specific quotes or data points but may not: prevent publication of the case study entirely (the brand’s data is the brand’s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case study rights clause is the MOST VALUABLE provision in the pilot agreement. A single case study (“[Race Name] composted [X] lbs using [BRAND] ponchos”) is worth: $5,000–$20,000 in marketing value (content for website, social, B2B pitch, PR) and is the #1 tool for closing the next 5–10 B2B deals. The review-and-approve process respects the race director’s reputation while ensuring the brand can publish.</w:t>
            </w:r>
          </w:p>
        </w:tc>
      </w:tr>
    </w:tbl>
    <w:p>
      <w:r>
        <w:br w:type="page"/>
      </w:r>
    </w:p>
    <w:p>
      <w:pPr>
        <w:pStyle w:val="Heading1"/>
        <w:spacing w:before="360" w:after="200"/>
      </w:pPr>
      <w:r>
        <w:rPr>
          <w:rFonts w:ascii="Arial" w:cs="Arial" w:eastAsia="Arial" w:hAnsi="Arial"/>
        </w:rPr>
        <w:t xml:space="preserve">5. Platform TOS Compliance: Amazon &amp; Shopify</w:t>
      </w:r>
    </w:p>
    <w:p>
      <w:pPr>
        <w:spacing w:after="160"/>
      </w:pPr>
      <w:r>
        <w:rPr>
          <w:rFonts w:ascii="Arial" w:cs="Arial" w:eastAsia="Arial" w:hAnsi="Arial"/>
          <w:b/>
          <w:bCs/>
          <w:i w:val="false"/>
          <w:iCs w:val="false"/>
          <w:color w:val="000000"/>
          <w:sz w:val="22"/>
          <w:szCs w:val="22"/>
        </w:rPr>
        <w:t xml:space="preserve">Amazon and Shopify impose their own terms of service on all sellers. </w:t>
      </w:r>
      <w:r>
        <w:rPr>
          <w:rFonts w:ascii="Arial" w:cs="Arial" w:eastAsia="Arial" w:hAnsi="Arial"/>
          <w:b w:val="false"/>
          <w:bCs w:val="false"/>
          <w:i w:val="false"/>
          <w:iCs w:val="false"/>
          <w:color w:val="000000"/>
          <w:sz w:val="22"/>
          <w:szCs w:val="22"/>
        </w:rPr>
        <w:t xml:space="preserve">Violating platform TOS can result in: account suspension (losing access to the sales channel entirely), listing removal, payment holds, and permanent bans. Understanding and complying with platform TOS is as important as complying with federal/state law — because the PLATFORM is the judge, jury, and executioner with no appeals court.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Requirements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Seller Agreement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KEY TERMS: seller must maintain account health metrics (ODR &lt;1%, late shipment &lt;4%, cancellation &lt;2.5%). Seller must not: manipulate reviews (incentivized reviews, fake reviews, review-for-discount), engage in price manipulation (artificially inflating prices then “discounting”), use competitor brand names in listing keywords (backend or visible), or make unsubstantiated claims in listing content. ENVIRONMENTAL CLAIMS: Amazon’s Climate Pledge Friendly program has its own verification requirements. If applying for the badge: ensure claims match BPI/ASTM D6400 documentation. Amazon may require: additional documentation or third-party certification verification.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Review: annually and whenever Amazon updates its policies (Amazon typically updates seller policies 2–4 times per year). The most common violation risks for this business: environmental claims that don’t match certification (per P9C), review manipulation (NEVER incentivize Amazon reviews outside of Vine per P6C Section 4), and keyword misuse (competitor brand names in backend keywords).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Shopify Terms of Service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KEY TERMS: seller must not: sell prohibited products (the poncho is not a prohibited product), use Shopify for: fraud, deceptive practices, or illegal activities. Seller must: maintain accurate product descriptions, honor stated return policies, and comply with all applicable laws (including environmental claims per P9C and sales tax per P8C). PAYMENTS: Shopify Payments terms prohibit: chargebacks above Shopify’s threshold (varies, typically &lt;1% of transactions). Excessive chargebacks result in: Shopify Payments account suspension, requiring a switch to a third-party payment processor.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Review: at account setup and annually. Shopify’s terms are less restrictive than Amazon’s for most legitimate businesses. The primary compliance risk: environmental claims on the product page that don’t match the qualification requirements in P9C. Shopify does not actively police product claims (unlike Amazon), but: a consumer complaint or FTC inquiry can reference Shopify product pages as evidence.</w:t>
            </w:r>
          </w:p>
        </w:tc>
      </w:tr>
    </w:tbl>
    <w:p>
      <w:r>
        <w:br w:type="page"/>
      </w:r>
    </w:p>
    <w:p>
      <w:pPr>
        <w:pStyle w:val="Heading1"/>
        <w:spacing w:before="360" w:after="200"/>
      </w:pPr>
      <w:r>
        <w:rPr>
          <w:rFonts w:ascii="Arial" w:cs="Arial" w:eastAsia="Arial" w:hAnsi="Arial"/>
        </w:rPr>
        <w:t xml:space="preserve">6. Website Legal Pages: 4 Policies</w:t>
      </w:r>
    </w:p>
    <w:p>
      <w:pPr>
        <w:spacing w:after="160"/>
      </w:pPr>
      <w:r>
        <w:rPr>
          <w:rFonts w:ascii="Arial" w:cs="Arial" w:eastAsia="Arial" w:hAnsi="Arial"/>
          <w:b/>
          <w:bCs/>
          <w:i w:val="false"/>
          <w:iCs w:val="false"/>
          <w:color w:val="000000"/>
          <w:sz w:val="22"/>
          <w:szCs w:val="22"/>
        </w:rPr>
        <w:t xml:space="preserve">Every e-commerce website must publish: Terms of Service, Privacy Policy, Return Policy, and (for this brand) an Environmental Claims Disclaimer. </w:t>
      </w:r>
      <w:r>
        <w:rPr>
          <w:rFonts w:ascii="Arial" w:cs="Arial" w:eastAsia="Arial" w:hAnsi="Arial"/>
          <w:b w:val="false"/>
          <w:bCs w:val="false"/>
          <w:i w:val="false"/>
          <w:iCs w:val="false"/>
          <w:color w:val="000000"/>
          <w:sz w:val="22"/>
          <w:szCs w:val="22"/>
        </w:rPr>
        <w:t xml:space="preserve">These pages are: legally required in most jurisdictions, linked in the site footer on every page, referenced during checkout (Shopify automatically links the Privacy Policy and Terms of Service at checkout), and the FIRST documents reviewed by a regulator, attorney, or journalist investigating the brand.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Terms of Service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Governs: use of the website (brand.com). Includes: acceptable use, account creation (if applicable), intellectual property ownership, user-generated content license (if accepting reviews or UGC uploads), limitation of liability, disclaimer of warranties (“AS IS”), governing law, and dispute resolution. USE: Shopify’s built-in Terms of Service generator (Settings → Policies → Terms of Service) provides a compliant template. Customize: add product-specific disclaimers (“the poncho provides warmth but is not a medical device and does not prevent hypothermia”).</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Terms of Service protects against: frivolous lawsuits from website visitors, liability for website downtime or errors, and IP theft (someone copying website content or images). It is linked in: the site footer (legally required for e-commerce sites in most jurisdictions).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Privacy Policy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Governs: collection, use, and protection of personal data. MUST DISCLOSE: what data is collected (name, email, address, payment, browsing behavior), how it’s used (order fulfillment, email marketing, analytics, advertising), which third parties receive data (Shopify, Klaviyo, Meta Pixel, Google Analytics, Microsoft Clarity, Amazon), how users can opt out (email unsubscribe, cookie preferences), and data retention periods. COMPLIANCE: CCPA (California Consumer Privacy Act) if any California customers (right to know, right to delete, right to opt out of sale of personal data). GDPR (if selling to EU customers in Year 2+). CAN-SPAM (email marketing: unsubscribe link required in every email, honor unsubscribe within 10 days).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Privacy Policy is legally REQUIRED for any website collecting personal data (which all e-commerce sites do). Use: Shopify’s Privacy Policy generator as a starting point, then customize to disclose: all third-party tools installed (GA4, Meta Pixel, Clarity per P6A), email marketing platform (Klaviyo per P6B), and any data shared with B2B partners. Annual review: update when new tracking tools or data-sharing relationships are added.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Return Policy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P4B Section 6.1: DTC returns accepted within 30 days of delivery for unused/unopened products in original packaging. Full refund to original payment method. Return shipping: customer pays (or brand provides prepaid label for defective items). Exceptions: opened/used ponchos are not returnable (hygienic product exception). Amazon returns: governed by Amazon’s return policy (brand cannot override). Shopify returns: governed by this policy (linked on product page + checkout + order confirmation email).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return policy must be: clearly visible before purchase (product page, cart, and checkout), consistent across all communications, and actually HONORED (failing to honor a posted return policy is an FTC violation and consumer fraud in most states). The 30-day window and unused-condition requirement are standard for consumable products.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Environmental Claims Disclaimer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dedicated disclaimer page or section on brand.com/sustainability (per P9C Section 2 row 7): “Our compostable warmth poncho is BPI-certified to meet ASTM D6400 standards for composting at commercial composting facilities. The poncho requires commercial composting infrastructure (sustained temperatures of 58°C / 136°F) and will not biodegrade in landfill conditions or home composting environments. Composting results vary by facility. Composting availability varies by region. [BRAND] coordinates with local composting facilities for race events where composting logistics are included in the partnership. Individual consumers should verify commercial composting availability in their area via FindAComposter.com.”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Environmental Claims Disclaimer is the brand’s INSURANCE POLICY against greenwashing accusations. It says: “here is exactly what the product does and does not do.” A consumer who reads this page and still misunderstands the claims has no reasonable basis for complaint. A regulator who reviews this page sees: good-faith transparency. Link to: from the product page footer, the FAQ page, and the sustainability page.</w:t>
            </w:r>
          </w:p>
        </w:tc>
      </w:tr>
    </w:tbl>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6–8: Draft the B2B terms and conditions (Section 1) and the pilot race agreement (Section 4). These are needed FIRST because: B2B outreach (P5A) begins in Weeks 6–12, and pilot race conversations (P5B) begin shortly after. Use: a template from SCORE or Rocket Lawyer, customize with the specific provisions above, and have an attorney review ($500–$1,500 for B2B terms + pilot agreement review).</w:t>
      </w:r>
    </w:p>
    <w:p>
      <w:pPr>
        <w:spacing w:after="160"/>
      </w:pPr>
      <w:r>
        <w:rPr>
          <w:rFonts w:ascii="Arial" w:cs="Arial" w:eastAsia="Arial" w:hAnsi="Arial"/>
          <w:b/>
          <w:bCs/>
          <w:i w:val="false"/>
          <w:iCs w:val="false"/>
          <w:color w:val="000000"/>
          <w:sz w:val="22"/>
          <w:szCs w:val="22"/>
        </w:rPr>
        <w:t xml:space="preserve">WEEK 8: Draft the ambassador agreement (Section 2). This is needed before: ambassador recruitment begins (P7A Week 12–14). The agreement can be: a simple 1–2 page document sent via email. Attorney review optional for Tier 1 (low risk); recommended for Tier 2 (potential paid content complicates the relationship).</w:t>
      </w:r>
    </w:p>
    <w:p>
      <w:pPr>
        <w:spacing w:after="160"/>
      </w:pPr>
      <w:r>
        <w:rPr>
          <w:rFonts w:ascii="Arial" w:cs="Arial" w:eastAsia="Arial" w:hAnsi="Arial"/>
          <w:b/>
          <w:bCs/>
          <w:i w:val="false"/>
          <w:iCs w:val="false"/>
          <w:color w:val="000000"/>
          <w:sz w:val="22"/>
          <w:szCs w:val="22"/>
        </w:rPr>
        <w:t xml:space="preserve">WEEK 8–10: Draft the supplier agreement (Section 3). This is needed before: the first production order (P3B). If using Parkside (UK): the supplier may have their own terms; negotiate: quality standards, IP protection, and confidentiality provisions INTO their terms or as an addendum. Attorney review recommended ($500–$1,000).</w:t>
      </w:r>
    </w:p>
    <w:p>
      <w:pPr>
        <w:spacing w:after="160"/>
      </w:pPr>
      <w:r>
        <w:rPr>
          <w:rFonts w:ascii="Arial" w:cs="Arial" w:eastAsia="Arial" w:hAnsi="Arial"/>
          <w:b/>
          <w:bCs/>
          <w:i w:val="false"/>
          <w:iCs w:val="false"/>
          <w:color w:val="000000"/>
          <w:sz w:val="22"/>
          <w:szCs w:val="22"/>
        </w:rPr>
        <w:t xml:space="preserve">WEEK 10–12: Review Amazon Seller Agreement and Shopify TOS (Section 5). Create website legal pages (Section 6): generate via Shopify’s built-in policy generators, customize with: product-specific disclaimers, environmental claims disclaimer, and tracking tool disclosures. Publish: link in site footer before the store launches. Attorney review of website legal pages: optional ($200–$500) but recommended for the Privacy Policy (CCPA compliance is complex).</w:t>
      </w:r>
    </w:p>
    <w:p>
      <w:pPr>
        <w:spacing w:after="160"/>
      </w:pPr>
      <w:r>
        <w:rPr>
          <w:rFonts w:ascii="Arial" w:cs="Arial" w:eastAsia="Arial" w:hAnsi="Arial"/>
          <w:b w:val="false"/>
          <w:bCs w:val="false"/>
          <w:i w:val="false"/>
          <w:iCs w:val="false"/>
          <w:color w:val="000000"/>
          <w:sz w:val="22"/>
          <w:szCs w:val="22"/>
        </w:rPr>
        <w:t xml:space="preserve">BUDGET: Attorney review of B2B terms + pilot agreement: $500–$1,500. Attorney review of supplier agreement: $500–$1,000. Ambassador agreement (template-based): $0–$200. Website legal pages (Shopify generator + customization): $0–$500. TOTAL P9D: $1,000–$3,200. Contracts are a ONE-TIME investment that protects the business for years. The cost of NOT having contracts: one bad B2B dispute or one product liability claim without a liability cap can cost $10,000–$100,000+.</w:t>
      </w:r>
    </w:p>
    <w:p>
      <w:r>
        <w:br w:type="page"/>
      </w:r>
    </w:p>
    <w:p>
      <w:pPr>
        <w:pStyle w:val="Heading1"/>
        <w:spacing w:before="360" w:after="200"/>
      </w:pPr>
      <w:r>
        <w:rPr>
          <w:rFonts w:ascii="Arial" w:cs="Arial" w:eastAsia="Arial" w:hAnsi="Arial"/>
        </w:rPr>
        <w:t xml:space="preserve">8. Conclusion: Contracts Enable Trust</w:t>
      </w:r>
    </w:p>
    <w:p>
      <w:pPr>
        <w:spacing w:after="160"/>
      </w:pPr>
      <w:r>
        <w:rPr>
          <w:rFonts w:ascii="Arial" w:cs="Arial" w:eastAsia="Arial" w:hAnsi="Arial"/>
          <w:b/>
          <w:bCs/>
          <w:i w:val="false"/>
          <w:iCs w:val="false"/>
          <w:color w:val="000000"/>
          <w:sz w:val="22"/>
          <w:szCs w:val="22"/>
        </w:rPr>
        <w:t xml:space="preserve">Contracts are not adversarial — they are clarifying. </w:t>
      </w:r>
      <w:r>
        <w:rPr>
          <w:rFonts w:ascii="Arial" w:cs="Arial" w:eastAsia="Arial" w:hAnsi="Arial"/>
          <w:b w:val="false"/>
          <w:bCs w:val="false"/>
          <w:i w:val="false"/>
          <w:iCs w:val="false"/>
          <w:color w:val="000000"/>
          <w:sz w:val="22"/>
          <w:szCs w:val="22"/>
        </w:rPr>
        <w:t xml:space="preserve">A race director who signs a B2B agreement with clear payment terms, delivery expectations, and defect procedures feels: MORE confident in the partnership, not less. An ambassador who signs an agreement with clear content expectations and FTC guidance feels: MORE supported, not constrained. A supplier who signs quality standards feels: MORE accountable, not threatened. Good contracts ENABLE trust by: removing ambiguity, setting mutual expectations, and providing clear paths for resolving disagreements.</w:t>
      </w:r>
    </w:p>
    <w:p>
      <w:pPr>
        <w:spacing w:after="160"/>
      </w:pPr>
      <w:r>
        <w:rPr>
          <w:rFonts w:ascii="Arial" w:cs="Arial" w:eastAsia="Arial" w:hAnsi="Arial"/>
          <w:b/>
          <w:bCs/>
          <w:i w:val="false"/>
          <w:iCs w:val="false"/>
          <w:color w:val="000000"/>
          <w:sz w:val="22"/>
          <w:szCs w:val="22"/>
        </w:rPr>
        <w:t xml:space="preserve">Sign everything. Document everything. Honor everything. </w:t>
      </w:r>
      <w:r>
        <w:rPr>
          <w:rFonts w:ascii="Arial" w:cs="Arial" w:eastAsia="Arial" w:hAnsi="Arial"/>
          <w:b w:val="false"/>
          <w:bCs w:val="false"/>
          <w:i w:val="false"/>
          <w:iCs w:val="false"/>
          <w:color w:val="000000"/>
          <w:sz w:val="22"/>
          <w:szCs w:val="22"/>
        </w:rPr>
        <w:t xml:space="preserve">A business that operates on handshakes in Year 1 will face: disputes in Year 2 that could have been prevented by a 2-page agreement signed in Week 8. The time to write contracts is BEFORE the relationship begins — not after the dispute starts.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2026-04-01T12:31:11.888Z</dcterms:created>
  <dcterms:modified xsi:type="dcterms:W3CDTF">2026-04-01T12:31:11.889Z</dcterms:modified>
</cp:coreProperties>
</file>

<file path=docProps/custom.xml><?xml version="1.0" encoding="utf-8"?>
<Properties xmlns="http://schemas.openxmlformats.org/officeDocument/2006/custom-properties" xmlns:vt="http://schemas.openxmlformats.org/officeDocument/2006/docPropsVTypes"/>
</file>