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1B3A6B"/>
          <w:sz w:val="44"/>
          <w:szCs w:val="44"/>
        </w:rPr>
        <w:t xml:space="preserve">P9E: SUSTAINABILITY</w:t>
      </w:r>
    </w:p>
    <w:p>
      <w:pPr>
        <w:spacing w:after="200"/>
        <w:jc w:val="center"/>
      </w:pPr>
      <w:r>
        <w:rPr>
          <w:rFonts w:ascii="Arial" w:cs="Arial" w:eastAsia="Arial" w:hAnsi="Arial"/>
          <w:b/>
          <w:bCs/>
          <w:color w:val="1B3A6B"/>
          <w:sz w:val="44"/>
          <w:szCs w:val="44"/>
        </w:rPr>
        <w:t xml:space="preserve">PROGRAM COMPLIANCE</w:t>
      </w:r>
    </w:p>
    <w:p>
      <w:pPr>
        <w:pBdr>
          <w:bottom w:val="single" w:color="2E5090" w:sz="6" w:space="12"/>
        </w:pBdr>
        <w:spacing w:after="100"/>
        <w:jc w:val="center"/>
      </w:pPr>
      <w:r>
        <w:rPr>
          <w:rFonts w:ascii="Arial" w:cs="Arial" w:eastAsia="Arial" w:hAnsi="Arial"/>
          <w:color w:val="666666"/>
          <w:sz w:val="24"/>
          <w:szCs w:val="24"/>
        </w:rPr>
        <w:t xml:space="preserve">Sub-Project P9E  |  Legal, Compliance &amp; Sustainability Certs  |  Weeks 8–14</w:t>
      </w:r>
    </w:p>
    <w:p>
      <w:pPr>
        <w:spacing w:before="400"/>
        <w:jc w:val="center"/>
      </w:pPr>
      <w:r>
        <w:rPr>
          <w:rFonts w:ascii="Arial" w:cs="Arial" w:eastAsia="Arial" w:hAnsi="Arial"/>
          <w:i/>
          <w:iCs/>
          <w:color w:val="888888"/>
          <w:sz w:val="22"/>
          <w:szCs w:val="22"/>
        </w:rPr>
        <w:t xml:space="preserve">Complete Sustainability Program Strategy: 1% for the Planet Membership, Green Sports Alliance, B Corp Certification Pathway, Sustainability Claims Evidence File, Annual Sustainability Report Template, and Carbon Offset Program</w:t>
      </w:r>
    </w:p>
    <w:p>
      <w:pPr>
        <w:spacing w:before="600"/>
        <w:jc w:val="center"/>
      </w:pPr>
      <w:r>
        <w:rPr>
          <w:rFonts w:ascii="Arial" w:cs="Arial" w:eastAsia="Arial" w:hAnsi="Arial"/>
          <w:color w:val="888888"/>
          <w:sz w:val="22"/>
          <w:szCs w:val="22"/>
        </w:rPr>
        <w:t xml:space="preserve">March 2026  |  Confidential</w:t>
      </w:r>
    </w:p>
    <w:p>
      <w:r>
        <w:br w:type="page"/>
      </w:r>
    </w:p>
    <w:p>
      <w:pPr>
        <w:pStyle w:val="Heading1"/>
        <w:spacing w:before="360" w:after="200"/>
      </w:pPr>
      <w:r>
        <w:rPr>
          <w:rFonts w:ascii="Arial" w:cs="Arial" w:eastAsia="Arial" w:hAnsi="Arial"/>
        </w:rPr>
        <w:t xml:space="preserve">Executive Summary</w:t>
      </w:r>
    </w:p>
    <w:p>
      <w:pPr>
        <w:spacing w:after="160"/>
      </w:pPr>
      <w:r>
        <w:rPr>
          <w:rFonts w:ascii="Arial" w:cs="Arial" w:eastAsia="Arial" w:hAnsi="Arial"/>
          <w:b/>
          <w:bCs/>
          <w:i w:val="false"/>
          <w:iCs w:val="false"/>
          <w:color w:val="000000"/>
          <w:sz w:val="22"/>
          <w:szCs w:val="22"/>
        </w:rPr>
        <w:t xml:space="preserve">Sustainability programs transform the brand from “a company that makes a compostable product” into “a company that is BUILT on sustainability.” </w:t>
      </w:r>
      <w:r>
        <w:rPr>
          <w:rFonts w:ascii="Arial" w:cs="Arial" w:eastAsia="Arial" w:hAnsi="Arial"/>
          <w:b w:val="false"/>
          <w:bCs w:val="false"/>
          <w:i w:val="false"/>
          <w:iCs w:val="false"/>
          <w:color w:val="000000"/>
          <w:sz w:val="22"/>
          <w:szCs w:val="22"/>
        </w:rPr>
        <w:t xml:space="preserve">BPI certification (P9C) proves the PRODUCT is compostable. 1% for the Planet proves the COMPANY gives back. Green Sports Alliance proves the INDUSTRY recognizes the brand. B Corp certification proves the ENTIRE BUSINESS operates sustainably. Each layer adds credibility, trust, and differentiation that competitors cannot easily replicate.</w:t>
      </w:r>
    </w:p>
    <w:p>
      <w:pPr>
        <w:spacing w:after="160"/>
      </w:pPr>
      <w:r>
        <w:rPr>
          <w:rFonts w:ascii="Arial" w:cs="Arial" w:eastAsia="Arial" w:hAnsi="Arial"/>
          <w:b/>
          <w:bCs/>
          <w:i w:val="false"/>
          <w:iCs w:val="false"/>
          <w:color w:val="000000"/>
          <w:sz w:val="22"/>
          <w:szCs w:val="22"/>
        </w:rPr>
        <w:t xml:space="preserve">This document establishes 6 sustainability systems: </w:t>
      </w:r>
      <w:r>
        <w:rPr>
          <w:rFonts w:ascii="Arial" w:cs="Arial" w:eastAsia="Arial" w:hAnsi="Arial"/>
          <w:b w:val="false"/>
          <w:bCs w:val="false"/>
          <w:i w:val="false"/>
          <w:iCs w:val="false"/>
          <w:color w:val="000000"/>
          <w:sz w:val="22"/>
          <w:szCs w:val="22"/>
        </w:rPr>
        <w:t xml:space="preserve">(1) 1% for the Planet membership committing 1% of revenue to environmental nonprofits, (2) Green Sports Alliance membership for industry credibility and B2B networking, (3) a B Corp certification roadmap from Year 1 self-assessment through Year 2–3 certification, (4) a sustainability claims evidence file compiling all certifications, composting data, and compliance documentation, (5) an annual sustainability report template with impact metrics, environmental commitments, and accountability targets, and (6) a carbon offset program covering measurement, reduction, and offset purchasing.</w:t>
      </w:r>
    </w:p>
    <w:p>
      <w:r>
        <w:br w:type="page"/>
      </w:r>
    </w:p>
    <w:p>
      <w:pPr>
        <w:pStyle w:val="Heading1"/>
        <w:spacing w:before="360" w:after="200"/>
      </w:pPr>
      <w:r>
        <w:rPr>
          <w:rFonts w:ascii="Arial" w:cs="Arial" w:eastAsia="Arial" w:hAnsi="Arial"/>
        </w:rPr>
        <w:t xml:space="preserve">1. 1% for the Planet</w:t>
      </w:r>
    </w:p>
    <w:p>
      <w:pPr>
        <w:spacing w:after="160"/>
      </w:pPr>
      <w:r>
        <w:rPr>
          <w:rFonts w:ascii="Arial" w:cs="Arial" w:eastAsia="Arial" w:hAnsi="Arial"/>
          <w:b/>
          <w:bCs/>
          <w:i w:val="false"/>
          <w:iCs w:val="false"/>
          <w:color w:val="000000"/>
          <w:sz w:val="22"/>
          <w:szCs w:val="22"/>
        </w:rPr>
        <w:t xml:space="preserve">1% for the Planet is the SIMPLEST and most credible sustainability commitment a brand can make. </w:t>
      </w:r>
      <w:r>
        <w:rPr>
          <w:rFonts w:ascii="Arial" w:cs="Arial" w:eastAsia="Arial" w:hAnsi="Arial"/>
          <w:b w:val="false"/>
          <w:bCs w:val="false"/>
          <w:i w:val="false"/>
          <w:iCs w:val="false"/>
          <w:color w:val="000000"/>
          <w:sz w:val="22"/>
          <w:szCs w:val="22"/>
        </w:rPr>
        <w:t xml:space="preserve">The 1% logo on packaging and marketing materials tells eco-conscious consumers: “This brand puts its money where its mission is.” The commitment is: easy to explain (1% of revenue goes to environmental causes), easy to verify (1% for the Planet audits annually), and easy to market (the logo is widely recognized thanks to Patagonia’s decades of advocacy).</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600"/>
        <w:gridCol w:w="7200"/>
      </w:tblGrid>
      <w:tr>
        <w:tc>
          <w:tcPr>
            <w:tcW w:type="dxa" w:w="1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Element</w:t>
            </w:r>
          </w:p>
        </w:tc>
        <w:tc>
          <w:tcPr>
            <w:tcW w:type="dxa" w:w="7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Specification</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What it is</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 for the Planet (onepercentfortheplanet.org) is a global network of businesses that commit to donating 1% of annual revenue (not profit) to approved environmental nonprofits. Members include: Patagonia, Cotopaxi, Klean Kanteen, REI, and 5,000+ other brands. The 1% commitment is: revenue-based (applies whether the business is profitable or not), verified annually (1% submits self-reported giving data, verified by the organization), and flexible (the brand chooses which environmental nonprofits to support from 1%’s approved partner list).</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Cost</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Annual membership: $500 for businesses with &lt;$1M in revenue (the “Startup” tier). The 1% donation itself: 1% of annual revenue. At $50,000 Year 1 revenue: $500 donation. At $150,000: $1,500. Total Year 1 cost: $500 membership + $500–$1,500 donation = $1,000–$2,000. The membership fee is a FIXED COST. The donation scales with revenue — a business that earns $10,000 donates $100; a business that earns $500,000 donates $5,000.</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Benefits</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 The 1% for the Planet logo on: packaging, website, product listings, and marketing materials. This logo is RECOGNIZED by eco-conscious consumers (Patagonia’s long association has made the logo a trust signal). (2) Membership in the 1% network: access to events, co-marketing opportunities, and connections with 5,000+ like-minded brands. (3) Press/PR credibility: “1% for the Planet member” is a legitimate credential referenced in: media coverage, B2B pitch decks, and investor materials. (4) B2B value: race directors and sponsors recognize 1% membership as a genuine sustainability commitment (vs. self-declared “green” claims). (5) Award eligibility: 1% for the Planet Environmental Partner Award (per P7C Section 6).</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Nonprofit partner selection</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Choose 1–3 environmental nonprofits from the 1% approved partner list to direct donations to. RECOMMENDED partners for alignment with the brand’s mission: (A) Surfrider Foundation (ocean plastic reduction — connects to: the LDPE waste problem at race events flowing to waterways). (B) Leave No Trace Center for Outdoor Ethics (outdoor recreation sustainability — directly aligned with the brand’s “leave no trace” ethos; also an opportunity to build a PARTNERSHIP with the LNT organization per P9B Section 2 tagline conflict). (C) Local composting organizations in pilot race cities (directly aligned with the brand’s composting mission). The brand can CHANGE nonprofit partners annually.</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Timeline</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WEEK 8–10: research 1% for the Planet membership. Apply online (onepercentfortheplanet.org/join). Application review: 2–4 weeks. Upon approval: receive the 1% logo files and brand guidelines for use. Add: 1% logo to packaging (P3D Section 5 insert card), website footer, Amazon A+ Content, and B2B materials. YEAR-END: report annual revenue and donation amount to 1% for the Planet. Provide: receipts or confirmation from the chosen nonprofit partner(s).</w:t>
            </w:r>
          </w:p>
        </w:tc>
      </w:tr>
    </w:tbl>
    <w:p>
      <w:r>
        <w:br w:type="page"/>
      </w:r>
    </w:p>
    <w:p>
      <w:pPr>
        <w:pStyle w:val="Heading1"/>
        <w:spacing w:before="360" w:after="200"/>
      </w:pPr>
      <w:r>
        <w:rPr>
          <w:rFonts w:ascii="Arial" w:cs="Arial" w:eastAsia="Arial" w:hAnsi="Arial"/>
        </w:rPr>
        <w:t xml:space="preserve">2. Green Sports Alliance</w:t>
      </w:r>
    </w:p>
    <w:p>
      <w:pPr>
        <w:spacing w:after="160"/>
      </w:pPr>
      <w:r>
        <w:rPr>
          <w:rFonts w:ascii="Arial" w:cs="Arial" w:eastAsia="Arial" w:hAnsi="Arial"/>
          <w:b/>
          <w:bCs/>
          <w:i w:val="false"/>
          <w:iCs w:val="false"/>
          <w:color w:val="000000"/>
          <w:sz w:val="22"/>
          <w:szCs w:val="22"/>
        </w:rPr>
        <w:t xml:space="preserve">GSA membership positions the brand within the sports industry’s sustainability community. </w:t>
      </w:r>
      <w:r>
        <w:rPr>
          <w:rFonts w:ascii="Arial" w:cs="Arial" w:eastAsia="Arial" w:hAnsi="Arial"/>
          <w:b w:val="false"/>
          <w:bCs w:val="false"/>
          <w:i w:val="false"/>
          <w:iCs w:val="false"/>
          <w:color w:val="000000"/>
          <w:sz w:val="22"/>
          <w:szCs w:val="22"/>
        </w:rPr>
        <w:t xml:space="preserve">While 1% for the Planet signals CONSUMER-facing sustainability, GSA signals B2B and INDUSTRY sustainability. The two memberships complement each other: 1% reaches runners, GSA reaches race directors and sponsors.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600"/>
        <w:gridCol w:w="7200"/>
      </w:tblGrid>
      <w:tr>
        <w:tc>
          <w:tcPr>
            <w:tcW w:type="dxa" w:w="1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Element</w:t>
            </w:r>
          </w:p>
        </w:tc>
        <w:tc>
          <w:tcPr>
            <w:tcW w:type="dxa" w:w="7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Specification</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What it is</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The Green Sports Alliance (greensportsalliance.org) is a nonprofit organization that convenes sports teams, leagues, venues, and industry partners around environmental sustainability. Members include: NFL, NBA, MLB teams, major venue operators, and sustainability-focused sports brands. GSA operates: annual summits, working groups, webinars, case study publications, and the GSA Innovation Award (per P7C Section 6).</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Membership tiers</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AFFILIATE member: for small businesses and startups. Cost: $250–$500/year (varies by organization size). Benefits: GSA logo usage, access to events and webinars, listing in the GSA member directory, eligibility for GSA Innovation Award, and networking with: race directors, sustainability managers at sports organizations, and potential sponsors who are GSA members.</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B2B value</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GSA membership signals to race directors: “This brand is recognized by the sports industry’s sustainability authority.” In B2B sales conversations: “We’re a Green Sports Alliance member” carries weight because: the race director’s own organization may be a GSA member (many large race series participate), GSA membership implies: third-party validation of sustainability commitment, and the GSA network provides: introductions to sustainability-committed race directors who are actively seeking sustainable products for their events.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Timeline</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WEEK 10: research GSA membership. Contact GSA for: membership pricing for small businesses, available events in the current year, and opportunities to present or exhibit at GSA events. Apply: if the cost ($250–$500) fits the budget. Attend: the GSA annual summit (typically fall) to network with: sports sustainability professionals, race series operators, and sponsor sustainability teams. ONGOING: participate in GSA webinars and working groups to: build relationships, share pilot race composting data, and position the founder as a thought leader in race-day sustainability.</w:t>
            </w:r>
          </w:p>
        </w:tc>
      </w:tr>
    </w:tbl>
    <w:p>
      <w:r>
        <w:br w:type="page"/>
      </w:r>
    </w:p>
    <w:p>
      <w:pPr>
        <w:pStyle w:val="Heading1"/>
        <w:spacing w:before="360" w:after="200"/>
      </w:pPr>
      <w:r>
        <w:rPr>
          <w:rFonts w:ascii="Arial" w:cs="Arial" w:eastAsia="Arial" w:hAnsi="Arial"/>
        </w:rPr>
        <w:t xml:space="preserve">3. B Corp Certification: Year 2–3 Roadmap</w:t>
      </w:r>
    </w:p>
    <w:p>
      <w:pPr>
        <w:spacing w:after="160"/>
      </w:pPr>
      <w:r>
        <w:rPr>
          <w:rFonts w:ascii="Arial" w:cs="Arial" w:eastAsia="Arial" w:hAnsi="Arial"/>
          <w:b/>
          <w:bCs/>
          <w:i w:val="false"/>
          <w:iCs w:val="false"/>
          <w:color w:val="000000"/>
          <w:sz w:val="22"/>
          <w:szCs w:val="22"/>
        </w:rPr>
        <w:t xml:space="preserve">B Corp is the ultimate sustainability credential for a purpose-driven brand. </w:t>
      </w:r>
      <w:r>
        <w:rPr>
          <w:rFonts w:ascii="Arial" w:cs="Arial" w:eastAsia="Arial" w:hAnsi="Arial"/>
          <w:b w:val="false"/>
          <w:bCs w:val="false"/>
          <w:i w:val="false"/>
          <w:iCs w:val="false"/>
          <w:color w:val="000000"/>
          <w:sz w:val="22"/>
          <w:szCs w:val="22"/>
        </w:rPr>
        <w:t xml:space="preserve">It certifies the ENTIRE COMPANY — not just the product — against rigorous standards for: governance, workers, community, environment, and customers. B Corp certification takes 1–3 years from first assessment to certification, making it a Year 2–3 goal. But PREPARATION begins in Year 1: understanding the assessment, identifying gaps, and building the operational foundation that will score 80+ on the B Impact Assessment.</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600"/>
        <w:gridCol w:w="7200"/>
      </w:tblGrid>
      <w:tr>
        <w:tc>
          <w:tcPr>
            <w:tcW w:type="dxa" w:w="1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Element</w:t>
            </w:r>
          </w:p>
        </w:tc>
        <w:tc>
          <w:tcPr>
            <w:tcW w:type="dxa" w:w="7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Specification</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What it is</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B Corp certification (bcorporation.net) verifies that a company meets high standards of: social and environmental PERFORMANCE (measured by the B Impact Assessment), legal ACCOUNTABILITY (the company’s governing documents include consideration of all stakeholders, not just shareholders), and public TRANSPARENCY (the B Impact Assessment score is published). B Corp is the GOLD STANDARD for sustainability certification at the company level (vs. BPI which certifies the product). B Corp members include: Patagonia, Allbirds, Ben &amp; Jerry’s, and 7,000+ companies globally.</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Requirements</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 B IMPACT ASSESSMENT: a comprehensive 200+ question assessment covering: governance (mission, ethics, transparency), workers (compensation, benefits, training, ownership), community (diversity, economic impact, civic engagement, supply chain), environment (environmental management, air/climate, water, land/life), and customers (customer stewardship). Minimum qualifying score: 80 out of 200 (median business scores ~50). (2) LEGAL REQUIREMENT: amend the LLC’s operating agreement to include stakeholder governance language (“the company considers the impact of its decisions on: workers, community, environment, and customers”). (3) VERIFICATION: B Lab (the certifying body) verifies: a random selection of assessment answers, financial records, and legal documentation. Timeline: 6–18 months from submission to certification (B Lab has a backlog).</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Scoring assessment</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LIKELY STRONG AREAS for this brand: ENVIRONMENT (compostable product, composting logistics, waste reduction mission, BPI certification, potentially 1% for the Planet membership), CUSTOMERS (transparent environmental claims per P9C, customer education per P6B sustainability page, genuine product utility). LIKELY WEAK AREAS (for a Year 1 startup): WORKERS (solo founder, no employees, no benefits programs, no diversity metrics), GOVERNANCE (basic LLC structure, no formal ethics policy, no board), COMMUNITY (limited community impact beyond product mission, no formal supplier diversity program). ESTIMATED SCORE: 60–80 for a Year 1 startup. The 80-point threshold may require: 12 months of operational data, at least 1 employee beyond the founder, formalized governance policies, and documented community impact.</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Timeline</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YEAR 1 (preparation): take the B Impact Assessment as a SELF-ASSESSMENT (free at bimpactassessment.net). Identify: areas where the score is below 80 and create improvement plans. Example: add a formal environmental policy, create a supplier code of conduct, implement a customer data privacy framework. YEAR 2 (application): after 12 months of operational data: complete the full B Impact Assessment, amend the operating agreement with stakeholder governance language, and submit for B Lab verification. Timeline to certification: 6–18 months after submission. YEAR 2–3 (certification): receive B Corp certification. Add: B Corp logo to packaging, website, and marketing materials. Cost: $500–$2,500/year depending on revenue (for businesses with &lt;$150K revenue: $500/year).</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Strategic value</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B Corp certification is a LONG-TERM brand asset that: differentiates from competitors (no current competitor in the race poncho space is B Corp certified), attracts impact investors (many impact funds require or prefer B Corp certification), earns media coverage (B Corp announcements generate press), strengthens B2B relationships (sustainability-committed race directors and sponsors value B Corp partners), and attracts talent (future employees and ambassadors prefer purpose-driven companies).</w:t>
            </w:r>
          </w:p>
        </w:tc>
      </w:tr>
    </w:tbl>
    <w:p>
      <w:r>
        <w:br w:type="page"/>
      </w:r>
    </w:p>
    <w:p>
      <w:pPr>
        <w:pStyle w:val="Heading1"/>
        <w:spacing w:before="360" w:after="200"/>
      </w:pPr>
      <w:r>
        <w:rPr>
          <w:rFonts w:ascii="Arial" w:cs="Arial" w:eastAsia="Arial" w:hAnsi="Arial"/>
        </w:rPr>
        <w:t xml:space="preserve">4. Sustainability Claims Evidence File</w:t>
      </w:r>
    </w:p>
    <w:p>
      <w:pPr>
        <w:spacing w:after="160"/>
      </w:pPr>
      <w:r>
        <w:rPr>
          <w:rFonts w:ascii="Arial" w:cs="Arial" w:eastAsia="Arial" w:hAnsi="Arial"/>
          <w:b/>
          <w:bCs/>
          <w:i w:val="false"/>
          <w:iCs w:val="false"/>
          <w:color w:val="000000"/>
          <w:sz w:val="22"/>
          <w:szCs w:val="22"/>
        </w:rPr>
        <w:t xml:space="preserve">The evidence file is the SINGLE SOURCE OF TRUTH for all sustainability claims. </w:t>
      </w:r>
      <w:r>
        <w:rPr>
          <w:rFonts w:ascii="Arial" w:cs="Arial" w:eastAsia="Arial" w:hAnsi="Arial"/>
          <w:b w:val="false"/>
          <w:bCs w:val="false"/>
          <w:i w:val="false"/>
          <w:iCs w:val="false"/>
          <w:color w:val="000000"/>
          <w:sz w:val="22"/>
          <w:szCs w:val="22"/>
        </w:rPr>
        <w:t xml:space="preserve">It compiles: every certification, every composting report, every supply chain document, every impact metric, and every compliance record into one organized, accessible repository. When a journalist asks “prove your composting claims,” the founder opens the evidence file. When an investor asks “show me your sustainability documentation,” the founder shares the evidence file. When the FTC asks “substantiate your environmental claims,” the founder sends the evidence file.</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3000"/>
      </w:tblGrid>
      <w:tr>
        <w:tc>
          <w:tcPr>
            <w:tcW w:type="dxa" w:w="1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Category</w:t>
            </w:r>
          </w:p>
        </w:tc>
        <w:tc>
          <w:tcPr>
            <w:tcW w:type="dxa" w:w="4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Contents</w:t>
            </w:r>
          </w:p>
        </w:tc>
        <w:tc>
          <w:tcPr>
            <w:tcW w:type="dxa" w:w="3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Purpose</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Product certifications</w:t>
            </w:r>
          </w:p>
        </w:tc>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BPI certification certificate (PDF). ASTM D6400 test report (from testing lab). EN 13432 certificate (if obtained). Raw material certifications: Futamura NatureFlex compostability certificate, PLA spunbond certificate, ink/adhesive compostability documentation.</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These documents PROVE: every “compostable” claim on every marketing surface is substantiated.</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Composting verification</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Post-race composting reports from every pilot/partner race (per P4D Section 4): facility name, weight received, composting timeline, verification that materials were processed. Aggregate: total weight diverted to date, total races served, total composting facilities used.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Composting verification PROVES: the brand doesn’t just make compostable products — it actually COMPOSTS them. This is the differentiator from every brand that slaps a “compostable” label on a product and does nothing about end-of-life.</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Supply chain documentation</w:t>
            </w:r>
          </w:p>
        </w:tc>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Supplier audit reports (per P3A Section 2). Factory certifications (ISO 9001, SA8000, BSCI — whichever the factory holds). Material traceability: from raw material source (Futamura factory, PLA resin supplier) through converter (Parkside) to finished product. Chain of custody documentation for compostable materials.</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Supply chain documentation PROVES: the product is made responsibly, not just from responsible materials. This matters for: B Corp assessment (supply chain section), investor due diligence, and media inquiries about manufacturing practices.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Environmental impact data</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Waste diverted calculations: total units sold × weight per unit = total product weight. Collection rate from pilot races × total weight = weight composted. Equivalent garbage bags replaced: total units sold = total garbage bags NOT sent to landfill. CO₂e avoided estimate (if calculated per P9E Section 6): lifecycle comparison of poncho vs. LDPE garbage bag. Water and energy data (from factory, if available): per-unit resource consumption.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Impact data feeds: the homepage impact counter (P6B Section 3), Earth Day campaign (P7F Section 5), annual sustainability report (Section 5 of this document), B2B pitch decks, investor materials, and media coverage.</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Membership and certifications</w:t>
            </w:r>
          </w:p>
        </w:tc>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 for the Planet membership certificate (if joined). Green Sports Alliance membership confirmation. B Corp certification (Year 2+). BPI certification. Any other sustainability-related memberships, awards, or recognitions (GSA Innovation Award, Running USA Award per P7C Section 6).</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Membership logos on: packaging, website, product listings, and pitch decks. Each membership is a VISUAL TRUST SIGNAL that doesn’t require explanation — the logo speaks for itself.</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Claims compliance documentation</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FTC Green Guides review notes (per P9C Section 1). Approved claim language document (per P9C Section 2). Claims compliance matrix (per P9C Section 4). Attorney opinion letter on environmental claims (if obtained). Record of any claims challenges and resolutions.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The claims compliance documentation PROVES: the brand takes environmental claims seriously and has invested in: legal review, qualified language, and systematic compliance. This is the DEFENSE documentation for any greenwashing challenge.</w:t>
            </w:r>
          </w:p>
        </w:tc>
      </w:tr>
    </w:tbl>
    <w:p>
      <w:pPr>
        <w:spacing w:before="200"/>
      </w:pPr>
    </w:p>
    <w:p>
      <w:pPr>
        <w:pStyle w:val="Heading2"/>
        <w:spacing w:before="280" w:after="160"/>
      </w:pPr>
      <w:r>
        <w:rPr>
          <w:rFonts w:ascii="Arial" w:cs="Arial" w:eastAsia="Arial" w:hAnsi="Arial"/>
        </w:rPr>
        <w:t xml:space="preserve">4.1 Evidence File Organization</w:t>
      </w:r>
    </w:p>
    <w:p>
      <w:pPr>
        <w:spacing w:after="160"/>
      </w:pPr>
      <w:r>
        <w:rPr>
          <w:rFonts w:ascii="Arial" w:cs="Arial" w:eastAsia="Arial" w:hAnsi="Arial"/>
          <w:b w:val="false"/>
          <w:bCs w:val="false"/>
          <w:i w:val="false"/>
          <w:iCs w:val="false"/>
          <w:color w:val="000000"/>
          <w:sz w:val="22"/>
          <w:szCs w:val="22"/>
        </w:rPr>
        <w:t xml:space="preserve">Google Drive folder structure: /Sustainability_Evidence_File/ with subfolders: /Certifications (BPI certificate, ASTM D6400 report, EN 13432, raw material certs), /Composting_Reports (one subfolder per race with: weight data, facility info, verification letter), /Supply_Chain (factory audit, material traceability, chain of custody), /Impact_Data (spreadsheet with running calculations: units sold, waste diverted, garbage bags replaced, CO₂e estimated), /Memberships (1% for the Planet, GSA, B Corp — certificates and confirmation letters), and /Claims_Compliance (FTC review notes, approved language doc, compliance matrix, attorney opinion letter). ACCESS: founder has full access. Share: read-only links with investors, attorneys, and B Corp assessors as needed. UPDATE: after every pilot race (add composting report), after every certification renewal, and after every new membership or award. BACKUP: monthly export to a separate cloud storage or external drive.</w:t>
      </w:r>
    </w:p>
    <w:p>
      <w:r>
        <w:br w:type="page"/>
      </w:r>
    </w:p>
    <w:p>
      <w:pPr>
        <w:pStyle w:val="Heading1"/>
        <w:spacing w:before="360" w:after="200"/>
      </w:pPr>
      <w:r>
        <w:rPr>
          <w:rFonts w:ascii="Arial" w:cs="Arial" w:eastAsia="Arial" w:hAnsi="Arial"/>
        </w:rPr>
        <w:t xml:space="preserve">5. Annual Sustainability Report</w:t>
      </w:r>
    </w:p>
    <w:p>
      <w:pPr>
        <w:spacing w:after="160"/>
      </w:pPr>
      <w:r>
        <w:rPr>
          <w:rFonts w:ascii="Arial" w:cs="Arial" w:eastAsia="Arial" w:hAnsi="Arial"/>
          <w:b/>
          <w:bCs/>
          <w:i w:val="false"/>
          <w:iCs w:val="false"/>
          <w:color w:val="000000"/>
          <w:sz w:val="22"/>
          <w:szCs w:val="22"/>
        </w:rPr>
        <w:t xml:space="preserve">The annual sustainability report is the brand’s public accountability document. </w:t>
      </w:r>
      <w:r>
        <w:rPr>
          <w:rFonts w:ascii="Arial" w:cs="Arial" w:eastAsia="Arial" w:hAnsi="Arial"/>
          <w:b w:val="false"/>
          <w:bCs w:val="false"/>
          <w:i w:val="false"/>
          <w:iCs w:val="false"/>
          <w:color w:val="000000"/>
          <w:sz w:val="22"/>
          <w:szCs w:val="22"/>
        </w:rPr>
        <w:t xml:space="preserve">It tells the world: what the brand promised, what it delivered, and what it will do next. Publishing an annual report — even in Year 1 with limited data — signals: transparency (the brand is willing to be measured), ambition (targets for the year ahead), and maturity (the brand treats sustainability as a SYSTEM, not a marketing slogan).</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600"/>
        <w:gridCol w:w="7200"/>
      </w:tblGrid>
      <w:tr>
        <w:tc>
          <w:tcPr>
            <w:tcW w:type="dxa" w:w="1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Section</w:t>
            </w:r>
          </w:p>
        </w:tc>
        <w:tc>
          <w:tcPr>
            <w:tcW w:type="dxa" w:w="7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Content</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Impact metrics</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Total units sold (cumulative and this year). Total waste diverted from landfill (lbs). Total garbage bags replaced (1 poncho = 1 garbage bag). Races served (total and new this year). Composting verification: weight composted, facilities used, geographic reach. Runner satisfaction: average review rating, key feedback themes.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Environmental commitments</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 for the Planet: total donated this year, recipient nonprofit(s), cumulative giving. Composting infrastructure: cities with active composting partners, facilities engaged, expansion plans. BPI certification: status (active, renewal date). Carbon footprint: if measured per Section 6, total Scope 1–3 emissions and offsets purchased.</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Product sustainability</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Material composition: % plant-based, % renewable, % compostable. Packaging: compostable inner bag, recyclable card/sleeve, no single-use plastic in packaging chain. Product lifecycle: from raw material to compost in 12–24 weeks (with infographic). Comparison: poncho vs. garbage bag lifecycle (LDPE: 500+ years in landfill; poncho: 12–24 weeks to compost).</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Year ahead goals</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Next year targets: units to sell, races to serve, waste to divert, composting partners to add, certifications to obtain (B Corp, EN 13432), product improvements (V1.5, new SKUs per P2F), and geographic expansion. Accountability: publish targets now, report against them next year. This creates a PUBLIC COMMITMENT that: motivates the founder, signals seriousness to stakeholders, and provides a framework for the next year’s sustainability report.</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Design and distribution</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DESIGN: 8–12 page PDF designed per P1B visual identity. Include: full-page infographics, race-day photos, composting facility photos, and data visualizations. Professional but not overproduced — authenticity matters more than polish. DISTRIBUTION: publish on brand.com/impact. Email to: all B2B partners, ambassador network, email subscribers, investors/advisors. Share on: social media (Earth Day is ideal timing per P7F Section 5), PR (pitch to sustainability media as a data source per P7C Section 3), and industry events (include in GSA and Running USA presentations).</w:t>
            </w:r>
          </w:p>
        </w:tc>
      </w:tr>
    </w:tbl>
    <w:p>
      <w:pPr>
        <w:spacing w:before="200"/>
      </w:pPr>
    </w:p>
    <w:p>
      <w:pPr>
        <w:pStyle w:val="Heading2"/>
        <w:spacing w:before="280" w:after="160"/>
      </w:pPr>
      <w:r>
        <w:rPr>
          <w:rFonts w:ascii="Arial" w:cs="Arial" w:eastAsia="Arial" w:hAnsi="Arial"/>
        </w:rPr>
        <w:t xml:space="preserve">5.1 Year 1 Report Example Outline</w:t>
      </w:r>
    </w:p>
    <w:p>
      <w:pPr>
        <w:spacing w:after="160"/>
      </w:pPr>
      <w:r>
        <w:rPr>
          <w:rFonts w:ascii="Arial" w:cs="Arial" w:eastAsia="Arial" w:hAnsi="Arial"/>
          <w:b w:val="false"/>
          <w:bCs w:val="false"/>
          <w:i w:val="false"/>
          <w:iCs w:val="false"/>
          <w:color w:val="000000"/>
          <w:sz w:val="22"/>
          <w:szCs w:val="22"/>
        </w:rPr>
        <w:t xml:space="preserve">PAGE 1: Cover (brand logo, “Annual Sustainability Report — Year 1”, race-day hero photo). PAGE 2: Founder’s letter (“When I stood at the start line of [race] and saw 30,000 garbage bags, I knew there had to be a better way. This report shares what we’ve accomplished in our first year.”). PAGE 3–4: Impact metrics (full-page infographic: units sold, waste diverted, races served, composting data, runner satisfaction). PAGE 5: Product sustainability (material breakdown, composting lifecycle infographic, comparison vs. garbage bags). PAGE 6: Composting story (photos from pilot race composting, facility partner spotlight, weight-diverted data). PAGE 7: Community (ambassador count, hashtag posts, Strava club members, running club partnerships). PAGE 8: Commitments (1% for the Planet donation summary, GSA membership, B Corp assessment score and improvement plan). PAGE 9: Year ahead goals (specific, measurable targets for Year 2). PAGE 10: Thank you (to: runners, race directors, composting partners, ambassadors, and the community). TOTAL: 10 pages. Design: Canva ($0–$13/month) using P1B brand identity. Publish: brand.com/impact + email + social media + press release timed to Earth Day (April 22 per P7F Section 5).</w:t>
      </w:r>
    </w:p>
    <w:p>
      <w:r>
        <w:br w:type="page"/>
      </w:r>
    </w:p>
    <w:p>
      <w:pPr>
        <w:pStyle w:val="Heading1"/>
        <w:spacing w:before="360" w:after="200"/>
      </w:pPr>
      <w:r>
        <w:rPr>
          <w:rFonts w:ascii="Arial" w:cs="Arial" w:eastAsia="Arial" w:hAnsi="Arial"/>
        </w:rPr>
        <w:t xml:space="preserve">6. Carbon Offset Program</w:t>
      </w:r>
    </w:p>
    <w:p>
      <w:pPr>
        <w:spacing w:after="160"/>
      </w:pPr>
      <w:r>
        <w:rPr>
          <w:rFonts w:ascii="Arial" w:cs="Arial" w:eastAsia="Arial" w:hAnsi="Arial"/>
          <w:b/>
          <w:bCs/>
          <w:i w:val="false"/>
          <w:iCs w:val="false"/>
          <w:color w:val="000000"/>
          <w:sz w:val="22"/>
          <w:szCs w:val="22"/>
        </w:rPr>
        <w:t xml:space="preserve">Carbon offsetting is the MOST COMPLEX and MOST SCRUTINIZED sustainability claim area. </w:t>
      </w:r>
      <w:r>
        <w:rPr>
          <w:rFonts w:ascii="Arial" w:cs="Arial" w:eastAsia="Arial" w:hAnsi="Arial"/>
          <w:b w:val="false"/>
          <w:bCs w:val="false"/>
          <w:i w:val="false"/>
          <w:iCs w:val="false"/>
          <w:color w:val="000000"/>
          <w:sz w:val="22"/>
          <w:szCs w:val="22"/>
        </w:rPr>
        <w:t xml:space="preserve">Done right: it demonstrates genuine environmental commitment. Done wrong: it invites accusations of greenwashing (“buying offsets instead of reducing emissions”). The approach: MEASURE first, REDUCE second, OFFSET third. Never skip straight to offsetting without understanding the footprint and actively reducing it.</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600"/>
        <w:gridCol w:w="7200"/>
      </w:tblGrid>
      <w:tr>
        <w:tc>
          <w:tcPr>
            <w:tcW w:type="dxa" w:w="1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Scope</w:t>
            </w:r>
          </w:p>
        </w:tc>
        <w:tc>
          <w:tcPr>
            <w:tcW w:type="dxa" w:w="7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Details</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Scope 1: Direct emissions</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Operations the brand directly controls: vehicle travel to/from expos, races, supplier visits. For a home-based business: Scope 1 is typically MINIMAL (no factory, no fleet, no office building). Estimated: 500–2,000 lbs CO₂e/year from vehicle travel (depending on number of expos and race events attended).</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Scope 2: Electricity</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Purchased electricity for: home office, equipment charging. For a home-based business: Scope 2 is NEGLIGIBLE (a portion of household electricity attributed to business use — perhaps 500–1,000 kWh/year). Estimated: 500–1,000 lbs CO₂e/year.</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Scope 3: Supply chain</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The LARGEST source of emissions: manufacturing (factory energy for lamination, printing, cutting, packing), international freight (ocean shipping from UK/China to US), domestic shipping (FBA inbound, B2B shipments, DTC last-mile delivery), and raw material production (NatureFlex film production, PLA resin production). Estimated: 5,000–20,000 lbs CO₂e/year depending on production volume and shipping distances. Scope 3 represents: 80–90% of total emissions for a product brand with overseas manufacturing.</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Measurement options</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OPTION A (simple, Year 1): estimate emissions using a carbon calculator (carbonfootprint.com, free basic calculator). Input: miles traveled, kWh electricity, weight shipped × distance. Accuracy: ±30–50% (rough estimate, directionally correct). OPTION B (moderate, Year 2): use a product-level carbon calculator (e.g., 2050 Materials, Ecoinvent database via OpenLCA) to estimate: emissions per unit produced and shipped. Accuracy: ±15–25%. OPTION C (precise, Year 2–3): commission a formal lifecycle assessment (LCA) from a consultancy (Quantis, thinkstep/Sphera, or a university sustainability program). Cost: $5,000–$15,000. Accuracy: ±5–10%. An LCA is REQUIRED for: credible carbon-neutral claims (per P9C Section 1) and for some investor due diligence processes.</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Offset purchasing</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Purchase carbon offsets from: Gold Standard (goldstandard.org — highest quality, most rigorous verification), Verra VCS (verra.org — widely used), or Climate Action Reserve. Offset types: renewable energy projects, reforestation, methane capture, or clean cookstove programs. Cost: $10–$30 per metric ton of CO₂e. At 10,000 lbs CO₂e/year (4.5 metric tons): offset cost = $45–$135/year. MARKETING CAUTION per P9C Section 1: do NOT claim “carbon neutral” until: (A) emissions are measured with reasonable accuracy (Option B or C), and (B) offsets are purchased from a credible, verified program. An unsubstantiated carbon-neutral claim is an FTC violation risk. A SUBSTANTIATED claim (“We’ve measured our carbon footprint and offset 100% through Gold Standard verified projects”) is defensible and powerful.</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Year 1 recommendation</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MEASURE: use Option A (simple estimate) to: understand the rough magnitude of emissions and identify the largest sources (almost certainly: manufacturing + international freight). REDUCE: before offsetting, identify reduction opportunities: (A) UK sourcing (Parkside) vs. China sourcing reduces: freight distance by 40–60% and may reduce manufacturing emissions (UK energy grid is cleaner than China’s). (B) Ocean freight (2–3 lbs CO₂e per kg) vs. air freight (25–30 lbs CO₂e per kg) — ALWAYS use ocean freight except for genuine emergencies. (C) FBA consolidation: ship larger, less frequent FBA inbound shipments to reduce per-unit transport emissions. OFFSET (optional Year 1): purchase $50–$150 in Gold Standard offsets for Year 1 estimated emissions. Do NOT claim carbon neutral — position as: “We’re measuring and offsetting our carbon footprint as we grow.”</w:t>
            </w:r>
          </w:p>
        </w:tc>
      </w:tr>
    </w:tbl>
    <w:p>
      <w:pPr>
        <w:spacing w:before="200"/>
      </w:pPr>
    </w:p>
    <w:p>
      <w:pPr>
        <w:pStyle w:val="Heading2"/>
        <w:spacing w:before="280" w:after="160"/>
      </w:pPr>
      <w:r>
        <w:rPr>
          <w:rFonts w:ascii="Arial" w:cs="Arial" w:eastAsia="Arial" w:hAnsi="Arial"/>
        </w:rPr>
        <w:t xml:space="preserve">6.1 Carbon Program Messaging</w:t>
      </w:r>
    </w:p>
    <w:p>
      <w:pPr>
        <w:spacing w:after="160"/>
      </w:pPr>
      <w:r>
        <w:rPr>
          <w:rFonts w:ascii="Arial" w:cs="Arial" w:eastAsia="Arial" w:hAnsi="Arial"/>
          <w:b w:val="false"/>
          <w:bCs w:val="false"/>
          <w:i w:val="false"/>
          <w:iCs w:val="false"/>
          <w:color w:val="000000"/>
          <w:sz w:val="22"/>
          <w:szCs w:val="22"/>
        </w:rPr>
        <w:t xml:space="preserve">YEAR 1 MESSAGING (before formal measurement): “We’re committed to understanding and reducing our environmental footprint. In Year 1, we’ve prioritized: compostable product design (replacing LDPE with plant-based materials), ocean freight over air (reducing transport emissions), and partnering with composting facilities to close the loop on product lifecycle.” YEAR 2+ MESSAGING (after measurement + offset): “In [Year], we measured our carbon footprint at [X] metric tons CO₂e. We reduced emissions by [Y]% through [specific actions]. We offset the remaining [Z] metric tons through Gold Standard verified [project type]. We’re committed to reducing our absolute emissions by [target]% by [year].” NEVER SAY: “carbon neutral” without: measured emissions data + verified offsets for 100% of measured emissions. “Net zero” is even more demanding and should not be claimed without a formal science-based target. Use: “climate-committed” or “actively reducing and offsetting our carbon footprint” as interim language.</w:t>
      </w:r>
    </w:p>
    <w:p>
      <w:r>
        <w:br w:type="page"/>
      </w:r>
    </w:p>
    <w:p>
      <w:pPr>
        <w:pStyle w:val="Heading1"/>
        <w:spacing w:before="360" w:after="200"/>
      </w:pPr>
      <w:r>
        <w:rPr>
          <w:rFonts w:ascii="Arial" w:cs="Arial" w:eastAsia="Arial" w:hAnsi="Arial"/>
        </w:rPr>
        <w:t xml:space="preserve">7. Timeline &amp; Budget</w:t>
      </w:r>
    </w:p>
    <w:p>
      <w:pPr>
        <w:spacing w:after="160"/>
      </w:pPr>
      <w:r>
        <w:rPr>
          <w:rFonts w:ascii="Arial" w:cs="Arial" w:eastAsia="Arial" w:hAnsi="Arial"/>
          <w:b/>
          <w:bCs/>
          <w:i w:val="false"/>
          <w:iCs w:val="false"/>
          <w:color w:val="000000"/>
          <w:sz w:val="22"/>
          <w:szCs w:val="22"/>
        </w:rPr>
        <w:t xml:space="preserve">WEEK 8–10: Research and apply for 1% for the Planet membership ($500 + 1% of revenue commitment). Research Green Sports Alliance membership ($250–$500). Take the B Corp self-assessment (bimpactassessment.net, free) to establish a baseline score and identify improvement areas.</w:t>
      </w:r>
    </w:p>
    <w:p>
      <w:pPr>
        <w:spacing w:after="160"/>
      </w:pPr>
      <w:r>
        <w:rPr>
          <w:rFonts w:ascii="Arial" w:cs="Arial" w:eastAsia="Arial" w:hAnsi="Arial"/>
          <w:b/>
          <w:bCs/>
          <w:i w:val="false"/>
          <w:iCs w:val="false"/>
          <w:color w:val="000000"/>
          <w:sz w:val="22"/>
          <w:szCs w:val="22"/>
        </w:rPr>
        <w:t xml:space="preserve">WEEK 10–12: Begin building the sustainability claims evidence file (Section 4): compile all certifications, set up the Google Drive folder structure, and start the impact data spreadsheet. Create the annual sustainability report template (Section 5) in Canva. Estimate Year 1 carbon footprint using a free calculator (Section 6 Option A).</w:t>
      </w:r>
    </w:p>
    <w:p>
      <w:pPr>
        <w:spacing w:after="160"/>
      </w:pPr>
      <w:r>
        <w:rPr>
          <w:rFonts w:ascii="Arial" w:cs="Arial" w:eastAsia="Arial" w:hAnsi="Arial"/>
          <w:b/>
          <w:bCs/>
          <w:i w:val="false"/>
          <w:iCs w:val="false"/>
          <w:color w:val="000000"/>
          <w:sz w:val="22"/>
          <w:szCs w:val="22"/>
        </w:rPr>
        <w:t xml:space="preserve">WEEK 12–14: Finalize 1% for the Planet nonprofit partner selection. Add 1% and GSA logos to: packaging proofs, website footer, Amazon A+ Content. Purchase Year 1 carbon offsets ($50–$150 via Gold Standard). Document: all sustainability program activities in the evidence file. ONGOING: update impact data monthly, update evidence file after each pilot race, and plan the annual sustainability report for publication on Earth Day.</w:t>
      </w:r>
    </w:p>
    <w:p>
      <w:pPr>
        <w:spacing w:after="160"/>
      </w:pPr>
      <w:r>
        <w:rPr>
          <w:rFonts w:ascii="Arial" w:cs="Arial" w:eastAsia="Arial" w:hAnsi="Arial"/>
          <w:b w:val="false"/>
          <w:bCs w:val="false"/>
          <w:i w:val="false"/>
          <w:iCs w:val="false"/>
          <w:color w:val="000000"/>
          <w:sz w:val="22"/>
          <w:szCs w:val="22"/>
        </w:rPr>
        <w:t xml:space="preserve">BUDGET: 1% for the Planet membership: $500/year. 1% donation: $500–$1,500/year (1% of revenue). Green Sports Alliance: $250–$500/year. B Corp self-assessment: $0 (free). B Corp certification (Year 2–3): $500–$2,500/year. Carbon offsets: $50–$150/year. Sustainability report design (Canva): $0–$13/month. TOTAL P9E Year 1: $1,300–$2,663. The 1% donation is NOT a cost — it is a MARKETING INVESTMENT that generates: consumer trust, B2B credibility, press coverage, and award eligibility worth 5–10× the donation amount.</w:t>
      </w:r>
    </w:p>
    <w:p>
      <w:r>
        <w:br w:type="page"/>
      </w:r>
    </w:p>
    <w:p>
      <w:pPr>
        <w:pStyle w:val="Heading1"/>
        <w:spacing w:before="360" w:after="200"/>
      </w:pPr>
      <w:r>
        <w:rPr>
          <w:rFonts w:ascii="Arial" w:cs="Arial" w:eastAsia="Arial" w:hAnsi="Arial"/>
        </w:rPr>
        <w:t xml:space="preserve">8. Conclusion: Sustainability Is the Strategy, Not Just the Product</w:t>
      </w:r>
    </w:p>
    <w:p>
      <w:pPr>
        <w:spacing w:after="160"/>
      </w:pPr>
      <w:r>
        <w:rPr>
          <w:rFonts w:ascii="Arial" w:cs="Arial" w:eastAsia="Arial" w:hAnsi="Arial"/>
          <w:b/>
          <w:bCs/>
          <w:i w:val="false"/>
          <w:iCs w:val="false"/>
          <w:color w:val="000000"/>
          <w:sz w:val="22"/>
          <w:szCs w:val="22"/>
        </w:rPr>
        <w:t xml:space="preserve">A compostable poncho is a sustainable PRODUCT. A company with: BPI certification, 1% for the Planet membership, Green Sports Alliance recognition, a published sustainability report, measured and offset carbon emissions, and a B Corp certification roadmap is a sustainable BUSINESS. </w:t>
      </w:r>
      <w:r>
        <w:rPr>
          <w:rFonts w:ascii="Arial" w:cs="Arial" w:eastAsia="Arial" w:hAnsi="Arial"/>
          <w:b w:val="false"/>
          <w:bCs w:val="false"/>
          <w:i w:val="false"/>
          <w:iCs w:val="false"/>
          <w:color w:val="000000"/>
          <w:sz w:val="22"/>
          <w:szCs w:val="22"/>
        </w:rPr>
        <w:t xml:space="preserve">The distinction matters because: products can be copied (a competitor can make a compostable poncho). A sustainability SYSTEM — the certifications, the composting network, the donation commitments, the published accountability, and the industry relationships — takes YEARS to build and cannot be replicated by launching a similar product.</w:t>
      </w:r>
    </w:p>
    <w:p>
      <w:pPr>
        <w:spacing w:after="160"/>
      </w:pPr>
      <w:r>
        <w:rPr>
          <w:rFonts w:ascii="Arial" w:cs="Arial" w:eastAsia="Arial" w:hAnsi="Arial"/>
          <w:b/>
          <w:bCs/>
          <w:i w:val="false"/>
          <w:iCs w:val="false"/>
          <w:color w:val="000000"/>
          <w:sz w:val="22"/>
          <w:szCs w:val="22"/>
        </w:rPr>
        <w:t xml:space="preserve">P9 is complete. </w:t>
      </w:r>
      <w:r>
        <w:rPr>
          <w:rFonts w:ascii="Arial" w:cs="Arial" w:eastAsia="Arial" w:hAnsi="Arial"/>
          <w:b w:val="false"/>
          <w:bCs w:val="false"/>
          <w:i w:val="false"/>
          <w:iCs w:val="false"/>
          <w:color w:val="000000"/>
          <w:sz w:val="22"/>
          <w:szCs w:val="22"/>
        </w:rPr>
        <w:t xml:space="preserve">The legal, compliance, and sustainability foundation is built: an LLC with liability protection (P9A), a trademark and patent-pending IP portfolio (P9B), FTC-compliant environmental claims on every marketing surface (P9C), contracts governing every business relationship (P9D), and a sustainability program that goes far beyond the product to encompass the entire company’s mission (P9E). The brand is legally protected, environmentally credible, and operationally ready for launch.</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6B"/>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509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2026-04-01T12:49:32.630Z</dcterms:created>
  <dcterms:modified xsi:type="dcterms:W3CDTF">2026-04-01T12:49:32.632Z</dcterms:modified>
</cp:coreProperties>
</file>

<file path=docProps/custom.xml><?xml version="1.0" encoding="utf-8"?>
<Properties xmlns="http://schemas.openxmlformats.org/officeDocument/2006/custom-properties" xmlns:vt="http://schemas.openxmlformats.org/officeDocument/2006/docPropsVTypes"/>
</file>