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C5973A"/>
          <w:sz w:val="18"/>
          <w:szCs w:val="18"/>
        </w:rPr>
        <w:t xml:space="preserve">YACHTWORTH · VALUATION REPORT</w:t>
      </w:r>
    </w:p>
    <w:p>
      <w:pPr>
        <w:pStyle w:val="Title"/>
        <w:spacing w:after="40"/>
      </w:pPr>
      <w:r>
        <w:rPr>
          <w:b/>
          <w:bCs/>
          <w:color w:val="0B1E3F"/>
          <w:sz w:val="48"/>
          <w:szCs w:val="48"/>
        </w:rPr>
        <w:t xml:space="preserve">Serenity</w:t>
      </w:r>
    </w:p>
    <w:p>
      <w:pPr>
        <w:spacing w:after="120"/>
      </w:pPr>
      <w:r>
        <w:rPr>
          <w:color w:val="6B6B6B"/>
          <w:sz w:val="22"/>
          <w:szCs w:val="22"/>
        </w:rPr>
        <w:t xml:space="preserve">Sunseeker · Manhattan 66 · 2018</w:t>
      </w:r>
    </w:p>
    <w:p>
      <w:pPr>
        <w:pBdr>
          <w:bottom w:val="single" w:color="C5973A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C5973A"/>
          <w:sz w:val="22"/>
          <w:szCs w:val="22"/>
        </w:rPr>
        <w:t xml:space="preserve">SPECIFICATIONS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6E1D8" w:sz="2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BUILDER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Sunseeker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MODEL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Manhattan 66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TYPE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Motor Yacht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YEAR BUILT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2018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LENGTH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20.6 m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BEAM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5.2 m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DRAFT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1.6 m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HULL MATERIAL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GRP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FLAG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Malta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HOME PORT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Valletta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VAT STATUS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ENGINE MAKER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MAN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ENGINES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TOTAL HP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1800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ENGINE HOURS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1200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MAX SPEED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32 kn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CRUISING SPEED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26 kn</w:t>
            </w:r>
          </w:p>
        </w:tc>
      </w:tr>
    </w:tbl>
    <w:p>
      <w:pPr>
        <w:pBdr>
          <w:bottom w:val="single" w:color="C5973A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C5973A"/>
          <w:sz w:val="22"/>
          <w:szCs w:val="22"/>
        </w:rPr>
        <w:t xml:space="preserve">ACCOMMODATION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6E1D8" w:sz="2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GUEST CABINS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GUESTS SLEEPING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BERTHS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HEADS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CREW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</w:tr>
    </w:tbl>
    <w:p>
      <w:pPr>
        <w:pBdr>
          <w:bottom w:val="single" w:color="C5973A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C5973A"/>
          <w:sz w:val="22"/>
          <w:szCs w:val="22"/>
        </w:rPr>
        <w:t xml:space="preserve">VALUATION RESULT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6E1D8" w:sz="2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LOW ESTIMATE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€1,150,000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MID ESTIMATE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€1,320,000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HIGH ESTIMATE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€1,490,000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CONFIDENCE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78%</w:t>
            </w:r>
          </w:p>
        </w:tc>
      </w:tr>
    </w:tbl>
    <w:p>
      <w:pPr>
        <w:pBdr>
          <w:bottom w:val="single" w:color="C5973A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C5973A"/>
          <w:sz w:val="22"/>
          <w:szCs w:val="22"/>
        </w:rPr>
        <w:t xml:space="preserve">COMPARABLE YACHTS</w:t>
      </w:r>
    </w:p>
    <w:p>
      <w:pPr>
        <w:spacing w:after="20" w:before="120"/>
      </w:pPr>
      <w:r>
        <w:rPr>
          <w:b/>
          <w:bCs/>
          <w:color w:val="0B1E3F"/>
          <w:sz w:val="20"/>
          <w:szCs w:val="20"/>
        </w:rPr>
        <w:t xml:space="preserve">Blue Horizon · Sunseeker · Manhattan 66</w:t>
      </w:r>
      <w:r>
        <w:rPr>
          <w:b/>
          <w:bCs/>
          <w:color w:val="C5973A"/>
          <w:sz w:val="20"/>
          <w:szCs w:val="20"/>
        </w:rPr>
        <w:t xml:space="preserve">   €1,280,000</w:t>
      </w:r>
    </w:p>
    <w:p>
      <w:pPr>
        <w:spacing w:after="40"/>
      </w:pPr>
      <w:r>
        <w:rPr>
          <w:color w:val="6B6B6B"/>
          <w:sz w:val="18"/>
          <w:szCs w:val="18"/>
        </w:rPr>
        <w:t xml:space="preserve">2017 · 20.6 m · Cannes, FR  —  1,500 hrs, refit 2022  —  YachtWorld</w:t>
      </w:r>
    </w:p>
    <w:p>
      <w:pPr>
        <w:spacing w:after="20" w:before="120"/>
      </w:pPr>
      <w:r>
        <w:rPr>
          <w:b/>
          <w:bCs/>
          <w:color w:val="0B1E3F"/>
          <w:sz w:val="20"/>
          <w:szCs w:val="20"/>
        </w:rPr>
        <w:t xml:space="preserve">Aqua Vita · Princess · F62</w:t>
      </w:r>
      <w:r>
        <w:rPr>
          <w:b/>
          <w:bCs/>
          <w:color w:val="C5973A"/>
          <w:sz w:val="20"/>
          <w:szCs w:val="20"/>
        </w:rPr>
        <w:t xml:space="preserve">   €1,395,000</w:t>
      </w:r>
    </w:p>
    <w:p>
      <w:pPr>
        <w:spacing w:after="40"/>
      </w:pPr>
      <w:r>
        <w:rPr>
          <w:color w:val="6B6B6B"/>
          <w:sz w:val="18"/>
          <w:szCs w:val="18"/>
        </w:rPr>
        <w:t xml:space="preserve">2019 · 19.2 m · Palma, ES  —  Boat International</w:t>
      </w:r>
    </w:p>
    <w:p>
      <w:pPr>
        <w:spacing w:after="20" w:before="120"/>
      </w:pPr>
      <w:r>
        <w:rPr>
          <w:b/>
          <w:bCs/>
          <w:color w:val="0B1E3F"/>
          <w:sz w:val="20"/>
          <w:szCs w:val="20"/>
        </w:rPr>
        <w:t xml:space="preserve">Sea Dream · Sunseeker · Manhattan 66</w:t>
      </w:r>
      <w:r>
        <w:rPr>
          <w:b/>
          <w:bCs/>
          <w:color w:val="C5973A"/>
          <w:sz w:val="20"/>
          <w:szCs w:val="20"/>
        </w:rPr>
        <w:t xml:space="preserve">   $1,190,000</w:t>
      </w:r>
    </w:p>
    <w:p>
      <w:pPr>
        <w:spacing w:after="40"/>
      </w:pPr>
      <w:r>
        <w:rPr>
          <w:color w:val="6B6B6B"/>
          <w:sz w:val="18"/>
          <w:szCs w:val="18"/>
        </w:rPr>
        <w:t xml:space="preserve">2016 · 20.6 m · Fort Lauderdale, US  —  Broker listing</w:t>
      </w:r>
    </w:p>
    <w:p>
      <w:pPr>
        <w:pBdr>
          <w:bottom w:val="single" w:color="C5973A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C5973A"/>
          <w:sz w:val="22"/>
          <w:szCs w:val="22"/>
        </w:rPr>
        <w:t xml:space="preserve">VALUATION FACTORS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A1A1A"/>
          <w:sz w:val="20"/>
          <w:szCs w:val="20"/>
        </w:rPr>
        <w:t xml:space="preserve">Low engine hours</w:t>
      </w:r>
      <w:r>
        <w:rPr>
          <w:b/>
          <w:bCs/>
          <w:color w:val="1F7A44"/>
          <w:sz w:val="18"/>
          <w:szCs w:val="18"/>
        </w:rPr>
        <w:t xml:space="preserve">  [positive]</w:t>
      </w:r>
      <w:r>
        <w:rPr>
          <w:color w:val="6B6B6B"/>
          <w:sz w:val="18"/>
          <w:szCs w:val="18"/>
        </w:rPr>
        <w:t xml:space="preserve">  (3)</w:t>
      </w:r>
    </w:p>
    <w:p>
      <w:pPr>
        <w:spacing w:after="20"/>
        <w:ind w:left="360"/>
      </w:pPr>
      <w:r>
        <w:rPr>
          <w:color w:val="6B6B6B"/>
          <w:sz w:val="18"/>
          <w:szCs w:val="18"/>
        </w:rPr>
        <w:t xml:space="preserve">1,200 hrs for age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A1A1A"/>
          <w:sz w:val="20"/>
          <w:szCs w:val="20"/>
        </w:rPr>
        <w:t xml:space="preserve">Recent electronics refit</w:t>
      </w:r>
      <w:r>
        <w:rPr>
          <w:b/>
          <w:bCs/>
          <w:color w:val="1F7A44"/>
          <w:sz w:val="18"/>
          <w:szCs w:val="18"/>
        </w:rPr>
        <w:t xml:space="preserve">  [positive]</w:t>
      </w:r>
      <w:r>
        <w:rPr>
          <w:color w:val="6B6B6B"/>
          <w:sz w:val="18"/>
          <w:szCs w:val="18"/>
        </w:rPr>
        <w:t xml:space="preserve">  (2)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A1A1A"/>
          <w:sz w:val="20"/>
          <w:szCs w:val="20"/>
        </w:rPr>
        <w:t xml:space="preserve">Older generation hull</w:t>
      </w:r>
      <w:r>
        <w:rPr>
          <w:b/>
          <w:bCs/>
          <w:color w:val="B02A2A"/>
          <w:sz w:val="18"/>
          <w:szCs w:val="18"/>
        </w:rPr>
        <w:t xml:space="preserve">  [negative]</w:t>
      </w:r>
      <w:r>
        <w:rPr>
          <w:color w:val="6B6B6B"/>
          <w:sz w:val="18"/>
          <w:szCs w:val="18"/>
        </w:rPr>
        <w:t xml:space="preserve">  (1)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A1A1A"/>
          <w:sz w:val="20"/>
          <w:szCs w:val="20"/>
        </w:rPr>
        <w:t xml:space="preserve">VAT paid (EU)</w:t>
      </w:r>
      <w:r>
        <w:rPr>
          <w:b/>
          <w:bCs/>
          <w:color w:val="1F7A44"/>
          <w:sz w:val="18"/>
          <w:szCs w:val="18"/>
        </w:rPr>
        <w:t xml:space="preserve">  [positive]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A1A1A"/>
          <w:sz w:val="20"/>
          <w:szCs w:val="20"/>
        </w:rPr>
        <w:t xml:space="preserve">Market softening Q1</w:t>
      </w:r>
      <w:r>
        <w:rPr>
          <w:b/>
          <w:bCs/>
          <w:color w:val="6B6B6B"/>
          <w:sz w:val="18"/>
          <w:szCs w:val="18"/>
        </w:rPr>
        <w:t xml:space="preserve">  [neutral]</w:t>
      </w:r>
    </w:p>
    <w:p>
      <w:pPr>
        <w:spacing w:after="20"/>
        <w:ind w:left="360"/>
      </w:pPr>
      <w:r>
        <w:rPr>
          <w:color w:val="6B6B6B"/>
          <w:sz w:val="18"/>
          <w:szCs w:val="18"/>
        </w:rPr>
        <w:t xml:space="preserve">Brokerage stock up 8%</w:t>
      </w:r>
    </w:p>
    <w:p>
      <w:pPr>
        <w:pBdr>
          <w:bottom w:val="single" w:color="C5973A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C5973A"/>
          <w:sz w:val="22"/>
          <w:szCs w:val="22"/>
        </w:rPr>
        <w:t xml:space="preserve">MARKET NOTES</w:t>
      </w:r>
    </w:p>
    <w:p>
      <w:r>
        <w:rPr>
          <w:color w:val="1A1A1A"/>
          <w:sz w:val="20"/>
          <w:szCs w:val="20"/>
        </w:rPr>
        <w:t xml:space="preserve">The 20m Sunseeker segment remains liquid in the Western Med.</w:t>
      </w:r>
    </w:p>
    <w:p>
      <w:r>
        <w:rPr>
          <w:color w:val="1A1A1A"/>
          <w:sz w:val="20"/>
          <w:szCs w:val="20"/>
        </w:rPr>
        <w:t xml:space="preserve">Well-maintained 2016-2019 units with VAT paid and low hours trade within 30-60 days. The subject vessel's recent electronics refit and full service history support a valuation in the upper-mid band.</w:t>
      </w:r>
    </w:p>
    <w:p>
      <w:pPr>
        <w:pBdr>
          <w:bottom w:val="single" w:color="C5973A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C5973A"/>
          <w:sz w:val="22"/>
          <w:szCs w:val="22"/>
        </w:rPr>
        <w:t xml:space="preserve">PREPARED BY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6E1D8" w:sz="2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NAME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James Carter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COMPANY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Yachtworth Brokerage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PHONE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+356 7900 0000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EMAIL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james@yachtworth.example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color w:val="C5973A"/>
                <w:sz w:val="16"/>
                <w:szCs w:val="16"/>
              </w:rPr>
              <w:t xml:space="preserve">WEBSITE</w:t>
            </w:r>
          </w:p>
        </w:tc>
        <w:tc>
          <w:tcPr>
            <w:tcW w:type="pct" w:w="62%"/>
          </w:tcPr>
          <w:p>
            <w:r>
              <w:rPr>
                <w:color w:val="1A1A1A"/>
                <w:sz w:val="20"/>
                <w:szCs w:val="20"/>
              </w:rPr>
              <w:t xml:space="preserve">yachtworth.example</w:t>
            </w:r>
          </w:p>
        </w:tc>
      </w:tr>
    </w:tbl>
    <w:p>
      <w:pPr>
        <w:spacing w:before="320"/>
        <w:jc w:val="left"/>
      </w:pPr>
      <w:r>
        <w:rPr>
          <w:i/>
          <w:iCs/>
          <w:color w:val="6B6B6B"/>
          <w:sz w:val="16"/>
          <w:szCs w:val="16"/>
        </w:rPr>
        <w:t xml:space="preserve">Indicative · not certified · valid 30 days from issue.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Serenity — Valuation Report</dc:title>
  <dc:creator>Yachtworth</dc:creator>
  <cp:lastModifiedBy>Un-named</cp:lastModifiedBy>
  <cp:revision>1</cp:revision>
  <dcterms:created xsi:type="dcterms:W3CDTF">2026-05-31T14:21:03.292Z</dcterms:created>
  <dcterms:modified xsi:type="dcterms:W3CDTF">2026-05-31T14:21:03.293Z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