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March 02 to May 31, 2026</w:t>
      </w:r>
    </w:p>
    <w:p>
      <w:pPr>
        <w:spacing w:after="120"/>
      </w:pPr>
    </w:p>
    <w:p>
      <w:pPr>
        <w:pStyle w:val="Heading1"/>
        <w:spacing w:after="120"/>
      </w:pPr>
      <w:r>
        <w:rPr>
          <w:rFonts w:ascii="Arial" w:hAnsi="Arial"/>
          <w:color w:val="E65100"/>
          <w:sz w:val="28"/>
        </w:rPr>
        <w:t>Executive Summary</w:t>
      </w:r>
    </w:p>
    <w:p>
      <w:r>
        <w:rPr>
          <w:rFonts w:ascii="Arial" w:hAnsi="Arial"/>
          <w:sz w:val="21"/>
        </w:rPr>
        <w:t>This quarter saw a sustained high threat environment for life sciences and genomics organizations, with 20 industry breaches and an estimated $120M impact; ransomware and supply chain incidents increased, and nation-state espionage risk remains elevated. China and Russia-linked actors focused on IP theft and disruption targeting genomics, pharmaceutical, and manufacturing sectors, with China showing persistent interest in sequencing platforms and cloud-hosted genomic data. Ransomware attacks rose 20 percent, with notable disruptions at Covenant Health and LabCorp, and supply chain breaches affected critical laboratory vendors. No direct threats to Illumina were identified, but increased targeting of genomics platforms and cloud data warrants prioritized review of ICA and BaseSpace security controls.</w:t>
      </w:r>
    </w:p>
    <w:p>
      <w:pPr>
        <w:spacing w:after="120"/>
      </w:pPr>
    </w:p>
    <w:p>
      <w:pPr>
        <w:pStyle w:val="Heading1"/>
        <w:spacing w:before="240" w:after="120"/>
      </w:pPr>
      <w:r>
        <w:rPr>
          <w:rFonts w:ascii="Arial" w:hAnsi="Arial"/>
          <w:color w:val="E65100"/>
          <w:sz w:val="28"/>
        </w:rPr>
        <w:t>Quarterly Risk Assessment</w:t>
      </w:r>
    </w:p>
    <w:p>
      <w:pPr>
        <w:spacing w:before="0" w:after="240" w:line="276" w:lineRule="auto"/>
      </w:pPr>
      <w:r>
        <w:rPr>
          <w:rFonts w:ascii="Arial" w:hAnsi="Arial"/>
          <w:color w:val="333333"/>
          <w:sz w:val="22"/>
        </w:rPr>
        <w:t xml:space="preserve">Risk levels are assessed based on observed threat actor activity, peer organization incidents, and potential business impact. </w:t>
      </w:r>
      <w:r>
        <w:rPr>
          <w:rFonts w:ascii="Arial" w:hAnsi="Arial"/>
          <w:b/>
          <w:color w:val="DC3545"/>
          <w:sz w:val="22"/>
        </w:rPr>
        <w:t>HIGH</w:t>
      </w:r>
      <w:r>
        <w:rPr>
          <w:rFonts w:ascii="Arial" w:hAnsi="Arial"/>
          <w:color w:val="333333"/>
          <w:sz w:val="22"/>
        </w:rPr>
        <w:t xml:space="preserve"> indicates active targeting with multiple incidents; </w:t>
      </w:r>
      <w:r>
        <w:rPr>
          <w:rFonts w:ascii="Arial" w:hAnsi="Arial"/>
          <w:b/>
          <w:color w:val="FF8C00"/>
          <w:sz w:val="22"/>
        </w:rPr>
        <w:t>MEDIUM</w:t>
      </w:r>
      <w:r>
        <w:rPr>
          <w:rFonts w:ascii="Arial" w:hAnsi="Arial"/>
          <w:color w:val="333333"/>
          <w:sz w:val="22"/>
        </w:rPr>
        <w:t xml:space="preserve"> reflects ongoing activity with moderate incident levels; </w:t>
      </w:r>
      <w:r>
        <w:rPr>
          <w:rFonts w:ascii="Arial" w:hAnsi="Arial"/>
          <w:b/>
          <w:color w:val="28A745"/>
          <w:sz w:val="22"/>
        </w:rPr>
        <w:t>LOW</w:t>
      </w:r>
      <w:r>
        <w:rPr>
          <w:rFonts w:ascii="Arial" w:hAnsi="Arial"/>
          <w:color w:val="333333"/>
          <w:sz w:val="22"/>
        </w:rPr>
        <w:t xml:space="preserve"> represents minimal observed activity or limited sector-specific targeting.</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Nation-State Espionage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Ransomware &amp; Extortion</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FEE2E2"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Supply Chain Compromise</w:t>
            </w:r>
          </w:p>
          <w:p>
            <w:pPr>
              <w:spacing w:before="0" w:after="0"/>
              <w:jc w:val="center"/>
            </w:pPr>
            <w:r>
              <w:rPr>
                <w:rFonts w:ascii="Arial" w:hAnsi="Arial"/>
                <w:b/>
                <w:color w:val="991B1B"/>
                <w:sz w:val="40"/>
              </w:rPr>
              <w:t>HIGH</w:t>
            </w:r>
          </w:p>
          <w:p>
            <w:pPr>
              <w:spacing w:before="0" w:after="0"/>
              <w:jc w:val="center"/>
            </w:pPr>
            <w:r>
              <w:rPr>
                <w:rFonts w:ascii="Arial" w:hAnsi="Arial"/>
                <w:i/>
                <w:color w:val="666666"/>
                <w:sz w:val="16"/>
              </w:rPr>
              <w:t>vs Q1: Unchanged</w:t>
            </w:r>
          </w:p>
        </w:tc>
        <w:tc>
          <w:tcPr>
            <w:tcW w:type="dxa" w:w="2520"/>
            <w:vAlign w:val="center"/>
            <w:tcMar>
              <w:top w:w="120" w:type="dxa"/>
              <w:bottom w:w="120" w:type="dxa"/>
              <w:left w:w="120" w:type="dxa"/>
              <w:right w:w="120" w:type="dxa"/>
            </w:tcMar>
            <w:shd w:fill="D1FAE5" w:val="clear" w:color="auto"/>
            <w:tcBorders>
              <w:top w:val="single" w:sz="4" w:space="0" w:color="CCCCCC"/>
              <w:bottom w:val="single" w:sz="4" w:space="0" w:color="CCCCCC"/>
              <w:left w:val="single" w:sz="4" w:space="0" w:color="CCCCCC"/>
              <w:right w:val="single" w:sz="4" w:space="0" w:color="CCCCCC"/>
            </w:tcBorders>
          </w:tcPr>
          <w:p>
            <w:pPr>
              <w:spacing w:before="0" w:after="0"/>
              <w:jc w:val="center"/>
            </w:pPr>
            <w:r>
              <w:rPr>
                <w:rFonts w:ascii="Arial" w:hAnsi="Arial"/>
                <w:b/>
                <w:color w:val="333333"/>
                <w:sz w:val="20"/>
              </w:rPr>
              <w:t>Insider Threat</w:t>
            </w:r>
          </w:p>
          <w:p>
            <w:pPr>
              <w:spacing w:before="0" w:after="0"/>
              <w:jc w:val="center"/>
            </w:pPr>
            <w:r>
              <w:rPr>
                <w:rFonts w:ascii="Arial" w:hAnsi="Arial"/>
                <w:b/>
                <w:color w:val="065F46"/>
                <w:sz w:val="40"/>
              </w:rPr>
              <w:t>LOW</w:t>
            </w:r>
          </w:p>
          <w:p>
            <w:pPr>
              <w:spacing w:before="0" w:after="0"/>
              <w:jc w:val="center"/>
            </w:pPr>
            <w:r>
              <w:rPr>
                <w:rFonts w:ascii="Arial" w:hAnsi="Arial"/>
                <w:i/>
                <w:color w:val="666666"/>
                <w:sz w:val="16"/>
              </w:rPr>
              <w:t>vs Q1: Unchanged</w:t>
            </w:r>
          </w:p>
        </w:tc>
      </w:tr>
    </w:tbl>
    <w:p>
      <w:pPr>
        <w:spacing w:after="120"/>
      </w:pPr>
    </w:p>
    <w:p>
      <w:pPr>
        <w:pStyle w:val="Heading1"/>
        <w:spacing w:before="240" w:after="120"/>
      </w:pPr>
      <w:r>
        <w:rPr>
          <w:rFonts w:ascii="Arial" w:hAnsi="Arial"/>
          <w:color w:val="E65100"/>
          <w:sz w:val="28"/>
        </w:rPr>
        <w:t>Geopolitical Threat Landscape</w:t>
      </w:r>
    </w:p>
    <w:p>
      <w:pPr>
        <w:keepNext/>
      </w:pPr>
      <w:r>
        <w:rPr>
          <w:rFonts w:ascii="Arial" w:hAnsi="Arial"/>
          <w:i/>
          <w:color w:val="666666"/>
          <w:sz w:val="18"/>
        </w:rPr>
        <w:t>Nation-state activity assessed for direct relevance to Illumina's assets, operations, and competitive position — Q2 2026.</w:t>
      </w:r>
    </w:p>
    <w:p>
      <w:pPr>
        <w:spacing w:before="120" w:after="240" w:line="276" w:lineRule="auto"/>
      </w:pPr>
      <w:r>
        <w:rPr>
          <w:rFonts w:ascii="Arial" w:hAnsi="Arial"/>
          <w:color w:val="333333"/>
          <w:sz w:val="22"/>
        </w:rPr>
        <w:t xml:space="preserve">Threat levels reflect the combination of actor capability, demonstrated intent, and targeting frequency. </w:t>
      </w:r>
      <w:r>
        <w:rPr>
          <w:rFonts w:ascii="Arial" w:hAnsi="Arial"/>
          <w:b/>
          <w:color w:val="DC3545"/>
          <w:sz w:val="22"/>
        </w:rPr>
        <w:t>HIGH</w:t>
      </w:r>
      <w:r>
        <w:rPr>
          <w:rFonts w:ascii="Arial" w:hAnsi="Arial"/>
          <w:color w:val="333333"/>
          <w:sz w:val="22"/>
        </w:rPr>
        <w:t xml:space="preserve"> indicates systematic sector targeting with confirmed intrusions; </w:t>
      </w:r>
      <w:r>
        <w:rPr>
          <w:rFonts w:ascii="Arial" w:hAnsi="Arial"/>
          <w:b/>
          <w:color w:val="FF8C00"/>
          <w:sz w:val="22"/>
        </w:rPr>
        <w:t>MEDIUM</w:t>
      </w:r>
      <w:r>
        <w:rPr>
          <w:rFonts w:ascii="Arial" w:hAnsi="Arial"/>
          <w:color w:val="333333"/>
          <w:sz w:val="22"/>
        </w:rPr>
        <w:t xml:space="preserve"> reflects opportunistic targeting or reconnaissance activity; </w:t>
      </w:r>
      <w:r>
        <w:rPr>
          <w:rFonts w:ascii="Arial" w:hAnsi="Arial"/>
          <w:b/>
          <w:color w:val="28A745"/>
          <w:sz w:val="22"/>
        </w:rPr>
        <w:t>LOW</w:t>
      </w:r>
      <w:r>
        <w:rPr>
          <w:rFonts w:ascii="Arial" w:hAnsi="Arial"/>
          <w:color w:val="333333"/>
          <w:sz w:val="22"/>
        </w:rPr>
        <w:t xml:space="preserve"> represents limited capability or minimal sector-specific interest.</w:t>
      </w:r>
    </w:p>
    <w:p>
      <w:pPr>
        <w:spacing w:after="120"/>
      </w:pPr>
    </w:p>
    <w:tbl>
      <w:tblPr>
        <w:tblW w:type="auto" w:w="0"/>
        <w:jc w:val="left"/>
        <w:tblLayout w:type="fixed"/>
        <w:tblLook w:firstColumn="1" w:firstRow="1" w:lastColumn="0" w:lastRow="0" w:noHBand="0" w:noVBand="1" w:val="04A0"/>
      </w:tblPr>
      <w:tblGrid>
        <w:gridCol w:w="2340"/>
        <w:gridCol w:w="2340"/>
        <w:gridCol w:w="2340"/>
        <w:gridCol w:w="2340"/>
      </w:tblGrid>
      <w:tr>
        <w:trPr>
          <w:cantSplit w:val="1"/>
        </w:trPr>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China</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Russian Federation</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Iran</w:t>
            </w:r>
          </w:p>
          <w:p>
            <w:pPr>
              <w:spacing w:after="0"/>
              <w:jc w:val="center"/>
            </w:pPr>
            <w:r>
              <w:rPr>
                <w:rFonts w:ascii="Arial" w:hAnsi="Arial"/>
                <w:b w:val="0"/>
                <w:color w:val="8899AA"/>
                <w:sz w:val="14"/>
              </w:rPr>
              <w:t xml:space="preserve">THREAT LEVEL  </w:t>
            </w:r>
            <w:r>
              <w:rPr>
                <w:rFonts w:ascii="Arial" w:hAnsi="Arial"/>
                <w:b/>
                <w:color w:val="FFD166"/>
                <w:sz w:val="18"/>
              </w:rPr>
              <w:t>MEDIUM</w:t>
            </w:r>
          </w:p>
        </w:tc>
        <w:tc>
          <w:tcPr>
            <w:tcW w:type="dxa" w:w="2340"/>
            <w:shd w:fill="1E2D3D" w:val="clear" w:color="auto"/>
            <w:tcBorders>
              <w:top w:val="single" w:sz="4" w:color="1E2D3D"/>
              <w:left w:val="single" w:sz="4" w:color="1E2D3D"/>
              <w:right w:val="single" w:sz="4" w:color="1E2D3D"/>
              <w:bottom w:val="single" w:sz="4" w:color="1E2D3D"/>
            </w:tcBorders>
            <w:tcMar>
              <w:top w:w="100" w:type="dxa"/>
              <w:bottom w:w="100" w:type="dxa"/>
              <w:left w:w="100" w:type="dxa"/>
              <w:right w:w="80" w:type="dxa"/>
            </w:tcMar>
          </w:tcPr>
          <w:p>
            <w:pPr>
              <w:spacing w:after="60"/>
              <w:jc w:val="center"/>
            </w:pPr>
            <w:r>
              <w:rPr>
                <w:rFonts w:ascii="Arial" w:hAnsi="Arial"/>
                <w:b/>
                <w:color w:val="FFFFFF"/>
                <w:sz w:val="20"/>
              </w:rPr>
              <w:t>North Korea</w:t>
            </w:r>
          </w:p>
          <w:p>
            <w:pPr>
              <w:spacing w:after="0"/>
              <w:jc w:val="center"/>
            </w:pPr>
            <w:r>
              <w:rPr>
                <w:rFonts w:ascii="Arial" w:hAnsi="Arial"/>
                <w:b w:val="0"/>
                <w:color w:val="8899AA"/>
                <w:sz w:val="14"/>
              </w:rPr>
              <w:t xml:space="preserve">THREAT LEVEL  </w:t>
            </w:r>
            <w:r>
              <w:rPr>
                <w:rFonts w:ascii="Arial" w:hAnsi="Arial"/>
                <w:b/>
                <w:color w:val="FFD166"/>
                <w:sz w:val="18"/>
              </w:rPr>
              <w:t>MEDIUM</w:t>
            </w:r>
          </w:p>
        </w:tc>
      </w:tr>
      <w:tr>
        <w:trPr>
          <w:cantSplit w:val="1"/>
        </w:trPr>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IP theft</w:t>
            </w:r>
          </w:p>
          <w:p>
            <w:pPr>
              <w:spacing w:after="0"/>
            </w:pPr>
            <w:r>
              <w:rPr>
                <w:rFonts w:ascii="Arial" w:hAnsi="Arial"/>
                <w:b/>
                <w:color w:val="6B7280"/>
                <w:sz w:val="15"/>
              </w:rPr>
              <w:t xml:space="preserve">Illumina exposure  </w:t>
            </w:r>
            <w:r>
              <w:rPr>
                <w:rFonts w:ascii="Arial" w:hAnsi="Arial"/>
                <w:b/>
                <w:color w:val="991B1B"/>
                <w:sz w:val="15"/>
              </w:rPr>
              <w:t>CRITICAL</w:t>
            </w:r>
          </w:p>
        </w:tc>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Ransomware — Disruption</w:t>
            </w:r>
          </w:p>
          <w:p>
            <w:pPr>
              <w:spacing w:after="0"/>
            </w:pPr>
            <w:r>
              <w:rPr>
                <w:rFonts w:ascii="Arial" w:hAnsi="Arial"/>
                <w:b/>
                <w:color w:val="6B7280"/>
                <w:sz w:val="15"/>
              </w:rPr>
              <w:t xml:space="preserve">Illumina exposure  </w:t>
            </w:r>
            <w:r>
              <w:rPr>
                <w:rFonts w:ascii="Arial" w:hAnsi="Arial"/>
                <w:b/>
                <w:color w:val="92400E"/>
                <w:sz w:val="15"/>
              </w:rPr>
              <w:t>HIGH</w:t>
            </w:r>
          </w:p>
        </w:tc>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Data access</w:t>
            </w:r>
          </w:p>
          <w:p>
            <w:pPr>
              <w:spacing w:after="0"/>
            </w:pPr>
            <w:r>
              <w:rPr>
                <w:rFonts w:ascii="Arial" w:hAnsi="Arial"/>
                <w:b/>
                <w:color w:val="6B7280"/>
                <w:sz w:val="15"/>
              </w:rPr>
              <w:t xml:space="preserve">Illumina exposure  </w:t>
            </w:r>
            <w:r>
              <w:rPr>
                <w:rFonts w:ascii="Arial" w:hAnsi="Arial"/>
                <w:b/>
                <w:color w:val="92400E"/>
                <w:sz w:val="15"/>
              </w:rPr>
              <w:t>MEDIUM</w:t>
            </w:r>
          </w:p>
        </w:tc>
        <w:tc>
          <w:tcPr>
            <w:tcW w:type="dxa" w:w="2340"/>
            <w:shd w:fill="F8FAFC" w:val="clear" w:color="auto"/>
            <w:tcBorders>
              <w:top w:val="single" w:sz="4" w:color="F8FAFC"/>
              <w:left w:val="single" w:sz="4" w:color="F8FAFC"/>
              <w:right w:val="single" w:sz="4" w:color="F8FAFC"/>
              <w:bottom w:val="single" w:sz="4" w:color="F8FAFC"/>
            </w:tcBorders>
            <w:tcMar>
              <w:top w:w="60" w:type="dxa"/>
              <w:bottom w:w="60" w:type="dxa"/>
              <w:left w:w="100" w:type="dxa"/>
              <w:right w:w="80" w:type="dxa"/>
            </w:tcMar>
          </w:tcPr>
          <w:p>
            <w:pPr>
              <w:spacing w:after="40"/>
            </w:pPr>
            <w:r>
              <w:rPr>
                <w:rFonts w:ascii="Arial" w:hAnsi="Arial"/>
                <w:b/>
                <w:color w:val="6B7280"/>
                <w:sz w:val="15"/>
              </w:rPr>
              <w:t xml:space="preserve">Primary vector  </w:t>
            </w:r>
            <w:r>
              <w:rPr>
                <w:rFonts w:ascii="Arial" w:hAnsi="Arial"/>
                <w:b w:val="0"/>
                <w:color w:val="1A202C"/>
                <w:sz w:val="15"/>
              </w:rPr>
              <w:t>Espionage — Opportunistic</w:t>
            </w:r>
          </w:p>
          <w:p>
            <w:pPr>
              <w:spacing w:after="0"/>
            </w:pPr>
            <w:r>
              <w:rPr>
                <w:rFonts w:ascii="Arial" w:hAnsi="Arial"/>
                <w:b/>
                <w:color w:val="6B7280"/>
                <w:sz w:val="15"/>
              </w:rPr>
              <w:t xml:space="preserve">Illumina exposure  </w:t>
            </w:r>
            <w:r>
              <w:rPr>
                <w:rFonts w:ascii="Arial" w:hAnsi="Arial"/>
                <w:b/>
                <w:color w:val="92400E"/>
                <w:sz w:val="15"/>
              </w:rPr>
              <w:t>MEDIUM</w:t>
            </w:r>
          </w:p>
        </w:tc>
      </w:tr>
      <w:tr>
        <w:trPr>
          <w:cantSplit w:val="1"/>
        </w:trPr>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Sequencing platforms and cloud-hosted genomic data are persistent targets for Chinese actors.</w:t>
            </w:r>
          </w:p>
          <w:p>
            <w:pPr>
              <w:spacing w:after="40"/>
            </w:pPr>
            <w:r>
              <w:rPr>
                <w:rFonts w:ascii="Arial" w:hAnsi="Arial"/>
                <w:color w:val="1A202C"/>
                <w:sz w:val="15"/>
              </w:rPr>
              <w:t>•  Market share in global genomics increases exposure to IP theft campaigns.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Manufacturing and healthcare operations are frequent ransomware targets.</w:t>
            </w:r>
          </w:p>
          <w:p>
            <w:pPr>
              <w:spacing w:after="40"/>
            </w:pPr>
            <w:r>
              <w:rPr>
                <w:rFonts w:ascii="Arial" w:hAnsi="Arial"/>
                <w:color w:val="1A202C"/>
                <w:sz w:val="15"/>
              </w:rPr>
              <w:t>•  Cloud infrastructure and laboratory networks face disruption risk.</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Healthcare and pharmaceutical sectors are targeted for data theft.</w:t>
            </w:r>
          </w:p>
          <w:p>
            <w:pPr>
              <w:spacing w:after="40"/>
            </w:pPr>
            <w:r>
              <w:rPr>
                <w:rFonts w:ascii="Arial" w:hAnsi="Arial"/>
                <w:color w:val="1A202C"/>
                <w:sz w:val="15"/>
              </w:rPr>
              <w:t>•  Academic collaborations increase risk of unauthorized access.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RELEVANCE TO ILLUMINA</w:t>
            </w:r>
          </w:p>
          <w:p>
            <w:pPr>
              <w:spacing w:after="40"/>
            </w:pPr>
            <w:r>
              <w:rPr>
                <w:rFonts w:ascii="Arial" w:hAnsi="Arial"/>
                <w:color w:val="1A202C"/>
                <w:sz w:val="15"/>
              </w:rPr>
              <w:t>•  Technology and pharmaceutical sectors are targeted for financial gain.</w:t>
            </w:r>
          </w:p>
          <w:p>
            <w:pPr>
              <w:spacing w:after="40"/>
            </w:pPr>
            <w:r>
              <w:rPr>
                <w:rFonts w:ascii="Arial" w:hAnsi="Arial"/>
                <w:color w:val="1A202C"/>
                <w:sz w:val="15"/>
              </w:rPr>
              <w:t>•  Cloud-hosted platforms face opportunistic attacks.</w:t>
            </w:r>
          </w:p>
        </w:tc>
      </w:tr>
      <w:tr>
        <w:trPr>
          <w:cantSplit w:val="1"/>
        </w:trPr>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CASCADE PANDA targeted pharmaceutical and healthcare organizations with credential harvesting campaigns.</w:t>
            </w:r>
          </w:p>
          <w:p>
            <w:pPr>
              <w:spacing w:after="40"/>
            </w:pPr>
            <w:r>
              <w:rPr>
                <w:rFonts w:ascii="Arial" w:hAnsi="Arial"/>
                <w:color w:val="1A202C"/>
                <w:sz w:val="15"/>
              </w:rPr>
              <w:t>•  VAULT PANDA and OVERCAST PANDA conducted espionage operations focused on genomics and proteomics data.</w:t>
            </w:r>
          </w:p>
        </w:tc>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ROYAL SPIDER and TRAVELING SPIDER executed ransomware campaigns against healthcare and manufacturing organizations.</w:t>
            </w:r>
          </w:p>
          <w:p>
            <w:pPr>
              <w:spacing w:after="40"/>
            </w:pPr>
            <w:r>
              <w:rPr>
                <w:rFonts w:ascii="Arial" w:hAnsi="Arial"/>
                <w:color w:val="1A202C"/>
                <w:sz w:val="15"/>
              </w:rPr>
              <w:t>•  BITWISE SPIDER targeted pharmaceutical and academic institutions with extortion and disruption.</w:t>
            </w:r>
          </w:p>
        </w:tc>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STATIC KITTEN and HYDRO KITTEN targeted healthcare and pharmaceutical organizations with data theft campaigns.</w:t>
            </w:r>
          </w:p>
        </w:tc>
        <w:tc>
          <w:tcPr>
            <w:tcW w:type="dxa" w:w="2340"/>
            <w:shd w:fill="F3F4F6" w:val="clear" w:color="auto"/>
            <w:tcBorders>
              <w:top w:val="single" w:sz="4" w:color="F3F4F6"/>
              <w:left w:val="single" w:sz="4" w:color="F3F4F6"/>
              <w:right w:val="single" w:sz="4" w:color="F3F4F6"/>
              <w:bottom w:val="single" w:sz="4" w:color="F3F4F6"/>
            </w:tcBorders>
            <w:tcMar>
              <w:top w:w="80" w:type="dxa"/>
              <w:bottom w:w="80" w:type="dxa"/>
              <w:left w:w="100" w:type="dxa"/>
              <w:right w:w="80" w:type="dxa"/>
            </w:tcMar>
          </w:tcPr>
          <w:p>
            <w:pPr>
              <w:spacing w:after="60"/>
            </w:pPr>
            <w:r>
              <w:rPr>
                <w:rFonts w:ascii="Arial" w:hAnsi="Arial"/>
                <w:b/>
                <w:color w:val="E65100"/>
                <w:sz w:val="14"/>
              </w:rPr>
              <w:t>Q2 ACTIVITY</w:t>
            </w:r>
          </w:p>
          <w:p>
            <w:pPr>
              <w:spacing w:after="40"/>
            </w:pPr>
            <w:r>
              <w:rPr>
                <w:rFonts w:ascii="Arial" w:hAnsi="Arial"/>
                <w:color w:val="1A202C"/>
                <w:sz w:val="15"/>
              </w:rPr>
              <w:t>•  FAMOUS CHOLLIMA targeted pharmaceutical and healthcare organizations with opportunistic campaigns.</w:t>
            </w:r>
          </w:p>
        </w:tc>
      </w:tr>
      <w:tr>
        <w:trPr>
          <w:cantSplit w:val="1"/>
        </w:trPr>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Loss of proprietary sequencing technology and genomic datasets.</w:t>
            </w:r>
          </w:p>
          <w:p>
            <w:pPr>
              <w:spacing w:after="40"/>
            </w:pPr>
            <w:r>
              <w:rPr>
                <w:rFonts w:ascii="Arial" w:hAnsi="Arial"/>
                <w:color w:val="1A202C"/>
                <w:sz w:val="15"/>
              </w:rPr>
              <w:t>•  Regulatory scrutiny due to foreign access to sensitive data.</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Operational disruption and downtime in manufacturing and sequencing environments.</w:t>
            </w:r>
          </w:p>
          <w:p>
            <w:pPr>
              <w:spacing w:after="40"/>
            </w:pPr>
            <w:r>
              <w:rPr>
                <w:rFonts w:ascii="Arial" w:hAnsi="Arial"/>
                <w:color w:val="1A202C"/>
                <w:sz w:val="15"/>
              </w:rPr>
              <w:t>•  Financial loss and reputational damage from ransomware incidents.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Exposure of clinical trial and patient data.</w:t>
            </w:r>
          </w:p>
          <w:p>
            <w:pPr>
              <w:spacing w:after="40"/>
            </w:pPr>
            <w:r>
              <w:rPr>
                <w:rFonts w:ascii="Arial" w:hAnsi="Arial"/>
                <w:color w:val="1A202C"/>
                <w:sz w:val="15"/>
              </w:rPr>
              <w:t>•  Potential regulatory violations from unauthorized data access.</w:t>
            </w:r>
          </w:p>
        </w:tc>
        <w:tc>
          <w:tcPr>
            <w:tcW w:type="dxa" w:w="2340"/>
            <w:shd w:fill="FFFFFF" w:val="clear" w:color="auto"/>
            <w:tcBorders>
              <w:top w:val="single" w:sz="4" w:color="FFFFFF"/>
              <w:left w:val="single" w:sz="4" w:color="FFFFFF"/>
              <w:right w:val="single" w:sz="4" w:color="FFFFFF"/>
              <w:bottom w:val="single" w:sz="4" w:color="FFFFFF"/>
            </w:tcBorders>
            <w:tcMar>
              <w:top w:w="80" w:type="dxa"/>
              <w:bottom w:w="80" w:type="dxa"/>
              <w:left w:w="100" w:type="dxa"/>
              <w:right w:w="80" w:type="dxa"/>
            </w:tcMar>
          </w:tcPr>
          <w:p>
            <w:pPr>
              <w:spacing w:after="60"/>
            </w:pPr>
            <w:r>
              <w:rPr>
                <w:rFonts w:ascii="Arial" w:hAnsi="Arial"/>
                <w:b/>
                <w:color w:val="E65100"/>
                <w:sz w:val="14"/>
              </w:rPr>
              <w:t>RISK TO ILLUMINA</w:t>
            </w:r>
          </w:p>
          <w:p>
            <w:pPr>
              <w:spacing w:after="40"/>
            </w:pPr>
            <w:r>
              <w:rPr>
                <w:rFonts w:ascii="Arial" w:hAnsi="Arial"/>
                <w:color w:val="1A202C"/>
                <w:sz w:val="15"/>
              </w:rPr>
              <w:t>•  Financial loss from targeted attacks.</w:t>
            </w:r>
          </w:p>
          <w:p>
            <w:pPr>
              <w:spacing w:after="40"/>
            </w:pPr>
            <w:r>
              <w:rPr>
                <w:rFonts w:ascii="Arial" w:hAnsi="Arial"/>
                <w:color w:val="1A202C"/>
                <w:sz w:val="15"/>
              </w:rPr>
              <w:t>•  Potential exposure of proprietary research data.</w:t>
            </w:r>
          </w:p>
        </w:tc>
      </w:tr>
    </w:tbl>
    <w:p>
      <w:pPr>
        <w:spacing w:after="120"/>
      </w:pPr>
    </w:p>
    <w:p>
      <w:pPr>
        <w:pStyle w:val="Heading1"/>
        <w:spacing w:before="240" w:after="120"/>
      </w:pPr>
      <w:r>
        <w:rPr>
          <w:rFonts w:ascii="Arial" w:hAnsi="Arial"/>
          <w:color w:val="E65100"/>
          <w:sz w:val="28"/>
        </w:rPr>
        <w:t>Industry Breach Landscape</w:t>
      </w:r>
    </w:p>
    <w:p>
      <w:pPr>
        <w:spacing w:before="0" w:after="120"/>
      </w:pPr>
      <w:r>
        <w:rPr>
          <w:rFonts w:ascii="Arial" w:hAnsi="Arial"/>
          <w:i/>
          <w:color w:val="6B7280"/>
          <w:sz w:val="18"/>
        </w:rPr>
        <w:t>Publicly disclosed incidents affecting life sciences, pharmaceutical, biotechnology, healthcare, and advanced manufacturing organizations during Q2 2026.</w:t>
      </w:r>
    </w:p>
    <w:p>
      <w:pPr>
        <w:spacing w:after="120"/>
      </w:pPr>
    </w:p>
    <w:tbl>
      <w:tblPr>
        <w:tblW w:type="auto" w:w="0"/>
        <w:tblLayout w:type="fixed"/>
        <w:tblLook w:firstColumn="1" w:firstRow="1" w:lastColumn="0" w:lastRow="0" w:noHBand="0" w:noVBand="1" w:val="04A0"/>
      </w:tblPr>
      <w:tblGrid>
        <w:gridCol w:w="2340"/>
        <w:gridCol w:w="2340"/>
        <w:gridCol w:w="2340"/>
        <w:gridCol w:w="2340"/>
      </w:tblGrid>
      <w:tr>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20</w:t>
            </w:r>
          </w:p>
          <w:p>
            <w:pPr>
              <w:spacing w:after="80"/>
              <w:jc w:val="center"/>
            </w:pPr>
            <w:r>
              <w:rPr>
                <w:rFonts w:ascii="Arial" w:hAnsi="Arial"/>
                <w:b/>
                <w:color w:val="000000"/>
                <w:sz w:val="20"/>
              </w:rPr>
              <w:t>Total Incidents</w:t>
            </w:r>
          </w:p>
          <w:p>
            <w:pPr>
              <w:jc w:val="center"/>
            </w:pPr>
            <w:r>
              <w:rPr>
                <w:rFonts w:ascii="Arial" w:hAnsi="Arial"/>
                <w:b w:val="0"/>
                <w:i/>
                <w:color w:val="DC3545"/>
                <w:sz w:val="16"/>
              </w:rPr>
              <w:t>Q1 2026: 16 (+25%)</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$120M</w:t>
            </w:r>
          </w:p>
          <w:p>
            <w:pPr>
              <w:spacing w:after="80"/>
              <w:jc w:val="center"/>
            </w:pPr>
            <w:r>
              <w:rPr>
                <w:rFonts w:ascii="Arial" w:hAnsi="Arial"/>
                <w:b/>
                <w:color w:val="000000"/>
                <w:sz w:val="20"/>
              </w:rPr>
              <w:t>Est. Total Impact</w:t>
            </w:r>
          </w:p>
          <w:p>
            <w:pPr>
              <w:jc w:val="center"/>
            </w:pPr>
            <w:r>
              <w:rPr>
                <w:rFonts w:ascii="Arial" w:hAnsi="Arial"/>
                <w:b w:val="0"/>
                <w:i/>
                <w:color w:val="DC3545"/>
                <w:sz w:val="16"/>
              </w:rPr>
              <w:t>Q1 2026: $90M (+33%)</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12</w:t>
            </w:r>
          </w:p>
          <w:p>
            <w:pPr>
              <w:spacing w:after="80"/>
              <w:jc w:val="center"/>
            </w:pPr>
            <w:r>
              <w:rPr>
                <w:rFonts w:ascii="Arial" w:hAnsi="Arial"/>
                <w:b/>
                <w:color w:val="000000"/>
                <w:sz w:val="20"/>
              </w:rPr>
              <w:t>Ransomware</w:t>
            </w:r>
          </w:p>
          <w:p>
            <w:pPr>
              <w:jc w:val="center"/>
            </w:pPr>
            <w:r>
              <w:rPr>
                <w:rFonts w:ascii="Arial" w:hAnsi="Arial"/>
                <w:b w:val="0"/>
                <w:i/>
                <w:color w:val="DC3545"/>
                <w:sz w:val="16"/>
              </w:rPr>
              <w:t>Q1 2026: 10 (+20%)</w:t>
            </w:r>
          </w:p>
        </w:tc>
        <w:tc>
          <w:tcPr>
            <w:tcW w:type="dxa" w:w="2520"/>
            <w:shd w:fill="E8F4F8" w:val="clear" w:color="auto"/>
            <w:tcBorders>
              <w:top w:val="single" w:sz="4" w:color="D0D0D0"/>
              <w:left w:val="single" w:sz="4" w:color="D0D0D0"/>
              <w:right w:val="single" w:sz="4" w:color="D0D0D0"/>
              <w:bottom w:val="single" w:sz="4" w:color="D0D0D0"/>
            </w:tcBorders>
          </w:tcPr>
          <w:p>
            <w:pPr>
              <w:spacing w:after="40"/>
              <w:jc w:val="center"/>
            </w:pPr>
            <w:r>
              <w:rPr>
                <w:rFonts w:ascii="Arial" w:hAnsi="Arial"/>
                <w:b/>
                <w:color w:val="000000"/>
                <w:sz w:val="48"/>
              </w:rPr>
              <w:t>8M</w:t>
            </w:r>
          </w:p>
          <w:p>
            <w:pPr>
              <w:spacing w:after="80"/>
              <w:jc w:val="center"/>
            </w:pPr>
            <w:r>
              <w:rPr>
                <w:rFonts w:ascii="Arial" w:hAnsi="Arial"/>
                <w:b/>
                <w:color w:val="000000"/>
                <w:sz w:val="20"/>
              </w:rPr>
              <w:t>Records Exposed</w:t>
            </w:r>
          </w:p>
          <w:p>
            <w:pPr>
              <w:jc w:val="center"/>
            </w:pPr>
            <w:r>
              <w:rPr>
                <w:rFonts w:ascii="Arial" w:hAnsi="Arial"/>
                <w:b w:val="0"/>
                <w:i/>
                <w:color w:val="DC3545"/>
                <w:sz w:val="16"/>
              </w:rPr>
              <w:t>Q1 2026: 5M (+60%)</w:t>
            </w:r>
          </w:p>
        </w:tc>
      </w:tr>
    </w:tbl>
    <w:p>
      <w:pPr>
        <w:spacing w:after="120"/>
      </w:pPr>
    </w:p>
    <w:p>
      <w:pPr>
        <w:spacing w:before="200" w:after="80"/>
      </w:pPr>
      <w:r>
        <w:rPr>
          <w:rFonts w:ascii="Arial" w:hAnsi="Arial"/>
          <w:b/>
          <w:color w:val="E65100"/>
          <w:sz w:val="22"/>
        </w:rPr>
        <w:t>Incidents by Type</w:t>
      </w:r>
    </w:p>
    <w:tbl>
      <w:tblPr>
        <w:tblW w:type="auto" w:w="0"/>
        <w:tblLayout w:type="fixed"/>
        <w:tblLook w:firstColumn="1" w:firstRow="1" w:lastColumn="0" w:lastRow="0" w:noHBand="0" w:noVBand="1" w:val="04A0"/>
      </w:tblPr>
      <w:tblGrid>
        <w:gridCol w:w="2002"/>
        <w:gridCol w:w="1195"/>
        <w:gridCol w:w="1195"/>
        <w:gridCol w:w="4968"/>
      </w:tblGrid>
      <w:tr>
        <w:tc>
          <w:tcPr>
            <w:tcW w:type="dxa" w:w="2520"/>
            <w:shd w:fill="E65100" w:val="clear" w:color="auto"/>
            <w:tcMar>
              <w:top w:w="60" w:type="dxa"/>
              <w:bottom w:w="60" w:type="dxa"/>
              <w:left w:w="80" w:type="dxa"/>
              <w:right w:w="80" w:type="dxa"/>
            </w:tcMar>
          </w:tcPr>
          <w:p>
            <w:pPr>
              <w:jc w:val="center"/>
            </w:pPr>
            <w:r>
              <w:rPr>
                <w:rFonts w:ascii="Arial" w:hAnsi="Arial"/>
                <w:b/>
                <w:color w:val="FFFFFF"/>
                <w:sz w:val="20"/>
              </w:rPr>
              <w:t>Incident Type</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Q2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Q1 2026</w:t>
            </w:r>
          </w:p>
        </w:tc>
        <w:tc>
          <w:tcPr>
            <w:tcW w:type="dxa" w:w="2520"/>
            <w:shd w:fill="E65100" w:val="clear" w:color="auto"/>
            <w:tcMar>
              <w:top w:w="60" w:type="dxa"/>
              <w:bottom w:w="60" w:type="dxa"/>
              <w:left w:w="80" w:type="dxa"/>
              <w:right w:w="80" w:type="dxa"/>
            </w:tcMar>
          </w:tcPr>
          <w:p>
            <w:pPr>
              <w:jc w:val="center"/>
            </w:pPr>
            <w:r>
              <w:rPr>
                <w:rFonts w:ascii="Arial" w:hAnsi="Arial"/>
                <w:b/>
                <w:color w:val="FFFFFF"/>
                <w:sz w:val="20"/>
              </w:rPr>
              <w:t>Notable Example</w:t>
            </w:r>
          </w:p>
        </w:tc>
      </w:tr>
      <w:tr>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Ransomware</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12</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10</w:t>
            </w:r>
          </w:p>
        </w:tc>
        <w:tc>
          <w:tcPr>
            <w:tcW w:type="dxa" w:w="2520"/>
            <w:shd w:fill="FFFFFF"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Covenant Health: ransomware attack disrupted hospital operations for 3 weeks, 480K patient records</w:t>
            </w:r>
          </w:p>
        </w:tc>
      </w:tr>
      <w:tr>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b/>
                <w:color w:val="000000"/>
                <w:sz w:val="20"/>
              </w:rPr>
              <w:t>Supply Chain</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color w:val="000000"/>
                <w:sz w:val="28"/>
              </w:rPr>
              <w:t>5</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center"/>
            </w:pPr>
            <w:r>
              <w:rPr>
                <w:rFonts w:ascii="Arial" w:hAnsi="Arial"/>
                <w:b w:val="0"/>
                <w:color w:val="000000"/>
                <w:sz w:val="20"/>
              </w:rPr>
              <w:t>3</w:t>
            </w:r>
          </w:p>
        </w:tc>
        <w:tc>
          <w:tcPr>
            <w:tcW w:type="dxa" w:w="2520"/>
            <w:shd w:fill="F3F4F6" w:val="clear" w:color="auto"/>
            <w:tcBorders>
              <w:top w:val="single" w:sz="4" w:color="D1D5DB"/>
              <w:left w:val="single" w:sz="4" w:color="D1D5DB"/>
              <w:bottom w:val="single" w:sz="4" w:color="D1D5DB"/>
              <w:right w:val="single" w:sz="4" w:color="D1D5DB"/>
            </w:tcBorders>
            <w:tcMar>
              <w:top w:w="60" w:type="dxa"/>
              <w:bottom w:w="60" w:type="dxa"/>
              <w:left w:w="80" w:type="dxa"/>
              <w:right w:w="80" w:type="dxa"/>
            </w:tcMar>
          </w:tcPr>
          <w:p>
            <w:pPr>
              <w:jc w:val="left"/>
            </w:pPr>
            <w:r>
              <w:rPr>
                <w:rFonts w:ascii="Arial" w:hAnsi="Arial"/>
                <w:i/>
                <w:color w:val="6B7280"/>
                <w:sz w:val="18"/>
              </w:rPr>
              <w:t>LabCorp vendor: credentials exposed affecting 200+ clinical laboratories</w:t>
            </w:r>
          </w:p>
        </w:tc>
      </w:tr>
    </w:tbl>
    <w:p>
      <w:pPr>
        <w:spacing w:after="120"/>
      </w:pPr>
    </w:p>
    <w:p>
      <w:pPr>
        <w:spacing w:before="160" w:after="80"/>
      </w:pPr>
      <w:r>
        <w:rPr>
          <w:rFonts w:ascii="Arial" w:hAnsi="Arial"/>
          <w:b/>
          <w:color w:val="E65100"/>
          <w:sz w:val="22"/>
        </w:rPr>
        <w:t>Common Factors Across Incidents</w:t>
      </w:r>
    </w:p>
    <w:p>
      <w:pPr>
        <w:spacing w:after="120"/>
      </w:pPr>
      <w:r>
        <w:rPr>
          <w:rFonts w:ascii="Arial" w:hAnsi="Arial"/>
          <w:b w:val="0"/>
          <w:color w:val="111827"/>
          <w:sz w:val="20"/>
        </w:rPr>
        <w:t>Exploitation of unpatched systems accounted for 34 percent of incidents. Compromised credentials contributed to 28 percent of breaches. Ransomware and supply chain attacks dominated, with 60 percent of exposed records linked to vendor compromise. Absent MFA was a factor in 12 percent of cases.</w:t>
      </w:r>
    </w:p>
    <w:p>
      <w:pPr>
        <w:spacing w:after="120"/>
      </w:pPr>
    </w:p>
    <w:p>
      <w:pPr>
        <w:pStyle w:val="Heading1"/>
        <w:spacing w:before="240" w:after="120"/>
      </w:pPr>
      <w:r>
        <w:rPr>
          <w:rFonts w:ascii="Arial" w:hAnsi="Arial"/>
          <w:color w:val="E65100"/>
          <w:sz w:val="28"/>
        </w:rPr>
        <w:t>Looking Ahead: Q3 2026</w:t>
      </w:r>
    </w:p>
    <w:p>
      <w:pPr>
        <w:spacing w:before="120" w:after="40"/>
      </w:pPr>
      <w:r>
        <w:rPr>
          <w:rFonts w:ascii="Arial" w:hAnsi="Arial"/>
          <w:b/>
          <w:color w:val="000000"/>
          <w:sz w:val="22"/>
        </w:rPr>
        <w:t>Specific Watch Items</w:t>
      </w:r>
    </w:p>
    <w:p>
      <w:pPr>
        <w:spacing w:before="0" w:after="120"/>
      </w:pPr>
      <w:r>
        <w:rPr>
          <w:rFonts w:ascii="Arial" w:hAnsi="Arial"/>
          <w:i/>
          <w:color w:val="6B7280"/>
          <w:sz w:val="18"/>
        </w:rPr>
        <w:t>Named, specific items — not generic monitoring reminders.</w:t>
      </w:r>
    </w:p>
    <w:p>
      <w:pPr>
        <w:pStyle w:val="ListNumber"/>
        <w:spacing w:after="80"/>
      </w:pPr>
      <w:r>
        <w:rPr>
          <w:rFonts w:ascii="Arial" w:hAnsi="Arial"/>
          <w:b/>
          <w:color w:val="2C3E50"/>
          <w:sz w:val="20"/>
        </w:rPr>
        <w:t>ALPHV/BlackCat successor groups</w:t>
      </w:r>
      <w:r>
        <w:rPr>
          <w:rFonts w:ascii="Arial" w:hAnsi="Arial"/>
          <w:b w:val="0"/>
          <w:color w:val="000000"/>
          <w:sz w:val="20"/>
        </w:rPr>
        <w:t xml:space="preserve"> are actively rebuilding targeting infrastructure and re-engaging life sciences organizations. Expect elevated ransomware incident volume against sector peers in Q3. Illumina should validate that M365 playbooks reflect current RaaS TTPs.</w:t>
      </w:r>
    </w:p>
    <w:p>
      <w:pPr>
        <w:pStyle w:val="ListNumber"/>
        <w:spacing w:after="80"/>
      </w:pPr>
      <w:r>
        <w:rPr>
          <w:rFonts w:ascii="Arial" w:hAnsi="Arial"/>
          <w:b/>
          <w:color w:val="2C3E50"/>
          <w:sz w:val="20"/>
        </w:rPr>
        <w:t>CISA KEV entries from Q2</w:t>
      </w:r>
      <w:r>
        <w:rPr>
          <w:rFonts w:ascii="Arial" w:hAnsi="Arial"/>
          <w:b w:val="0"/>
          <w:color w:val="000000"/>
          <w:sz w:val="20"/>
        </w:rPr>
        <w:t xml:space="preserve"> affecting network management and VPN gateway software used in laboratory environments remain unpatched across a significant portion of the sector. Confirm patch status for all affected Illumina systems before Q3 close.</w:t>
      </w:r>
    </w:p>
    <w:p>
      <w:pPr>
        <w:pStyle w:val="ListNumber"/>
        <w:spacing w:after="80"/>
      </w:pPr>
      <w:r>
        <w:rPr>
          <w:rFonts w:ascii="Arial" w:hAnsi="Arial"/>
          <w:b/>
          <w:color w:val="2C3E50"/>
          <w:sz w:val="20"/>
        </w:rPr>
        <w:t>Pending genomics data security legislation</w:t>
      </w:r>
      <w:r>
        <w:rPr>
          <w:rFonts w:ascii="Arial" w:hAnsi="Arial"/>
          <w:b w:val="0"/>
          <w:color w:val="000000"/>
          <w:sz w:val="20"/>
        </w:rPr>
        <w:t xml:space="preserve"> in the United States and European Union — including provisions restricting foreign access to human genomic datasets — is expected to advance in Q3. Monitor for provisions relevant to ICA and BaseSpace customer data and Illumina's ongoing China market activity.</w:t>
      </w:r>
    </w:p>
    <w:p>
      <w:pPr>
        <w:spacing w:after="120"/>
      </w:pPr>
    </w:p>
    <w:p>
      <w:pPr>
        <w:pStyle w:val="Heading1"/>
        <w:spacing w:before="240" w:after="120"/>
      </w:pPr>
      <w:r>
        <w:rPr>
          <w:rFonts w:ascii="Arial" w:hAnsi="Arial"/>
          <w:color w:val="E65100"/>
          <w:sz w:val="28"/>
        </w:rPr>
        <w:t>Recommendations</w:t>
      </w:r>
    </w:p>
    <w:p>
      <w:pPr>
        <w:spacing w:before="0" w:after="120"/>
      </w:pPr>
      <w:r>
        <w:rPr>
          <w:rFonts w:ascii="Arial" w:hAnsi="Arial"/>
          <w:i/>
          <w:color w:val="6B7280"/>
          <w:sz w:val="18"/>
        </w:rPr>
        <w:t>Three prioritized actions informed by Q2 intelligence findings.</w:t>
      </w: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1.  </w:t>
            </w:r>
            <w:r>
              <w:rPr>
                <w:rFonts w:ascii="Arial" w:hAnsi="Arial"/>
                <w:b/>
                <w:color w:val="E65100"/>
                <w:sz w:val="22"/>
                <w:u w:val="single"/>
              </w:rPr>
              <w:t>Verify</w:t>
            </w:r>
            <w:r>
              <w:rPr>
                <w:rFonts w:ascii="Arial" w:hAnsi="Arial"/>
                <w:b/>
                <w:color w:val="E65100"/>
                <w:sz w:val="22"/>
                <w:u w:val="none"/>
              </w:rPr>
              <w:t xml:space="preserve"> MFA Coverage Across Research and Manufacturing Environments</w:t>
            </w:r>
          </w:p>
          <w:p>
            <w:pPr>
              <w:spacing w:after="0"/>
            </w:pPr>
            <w:r>
              <w:rPr>
                <w:rFonts w:ascii="Arial" w:hAnsi="Arial"/>
                <w:b w:val="0"/>
                <w:color w:val="111827"/>
                <w:sz w:val="20"/>
              </w:rPr>
              <w:t>Twelve percent of sector breaches this quarter involved absent MFA on critical systems. An MFA coverage audit across Illumina's sequencing systems, manufacturing network, and ICA/BaseSpace administrative interfaces should be completed before Q3 close, with any gaps remediated on an accelerated timeline.</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2.  </w:t>
            </w:r>
            <w:r>
              <w:rPr>
                <w:rFonts w:ascii="Arial" w:hAnsi="Arial"/>
                <w:b/>
                <w:color w:val="E65100"/>
                <w:sz w:val="22"/>
                <w:u w:val="single"/>
              </w:rPr>
              <w:t>Conduct</w:t>
            </w:r>
            <w:r>
              <w:rPr>
                <w:rFonts w:ascii="Arial" w:hAnsi="Arial"/>
                <w:b/>
                <w:color w:val="E65100"/>
                <w:sz w:val="22"/>
                <w:u w:val="none"/>
              </w:rPr>
              <w:t xml:space="preserve"> ICA and BaseSpace Threat Model Review</w:t>
            </w:r>
          </w:p>
          <w:p>
            <w:pPr>
              <w:spacing w:after="0"/>
            </w:pPr>
            <w:r>
              <w:rPr>
                <w:rFonts w:ascii="Arial" w:hAnsi="Arial"/>
                <w:b w:val="0"/>
                <w:color w:val="111827"/>
                <w:sz w:val="20"/>
              </w:rPr>
              <w:t>Nation-state targeting of cloud-hosted genomic data is the intelligence trend with the highest potential business impact for Illumina identified this quarter. A threat model review scoped to ICA and BaseSpace — covering data access controls, customer data segregation, and detection capabilities for unauthorized access scenarios — should be initiated this quarter and completed before the Q3 board cycle.</w:t>
            </w:r>
          </w:p>
        </w:tc>
      </w:tr>
    </w:tbl>
    <w:p>
      <w:pPr>
        <w:spacing w:after="160"/>
      </w:pPr>
    </w:p>
    <w:tbl>
      <w:tblPr>
        <w:tblW w:type="auto" w:w="0"/>
        <w:tblLayout w:type="fixed"/>
        <w:tblLook w:firstColumn="1" w:firstRow="1" w:lastColumn="0" w:lastRow="0" w:noHBand="0" w:noVBand="1" w:val="04A0"/>
      </w:tblPr>
      <w:tblGrid>
        <w:gridCol w:w="9360"/>
      </w:tblGrid>
      <w:tr>
        <w:tc>
          <w:tcPr>
            <w:tcW w:type="dxa" w:w="10080"/>
            <w:shd w:fill="FFF3E0" w:val="clear" w:color="auto"/>
            <w:tcBorders>
              <w:left w:val="single" w:sz="18" w:color="E65100"/>
              <w:top w:val="single" w:sz="4" w:color="D1D5DB"/>
              <w:right w:val="single" w:sz="4" w:color="D1D5DB"/>
              <w:bottom w:val="single" w:sz="4" w:color="D1D5DB"/>
            </w:tcBorders>
            <w:tcMar>
              <w:top w:w="80" w:type="dxa"/>
              <w:bottom w:w="80" w:type="dxa"/>
              <w:left w:w="120" w:type="dxa"/>
              <w:right w:w="120" w:type="dxa"/>
            </w:tcMar>
          </w:tcPr>
          <w:p>
            <w:pPr>
              <w:spacing w:after="120"/>
            </w:pPr>
            <w:r>
              <w:rPr>
                <w:rFonts w:ascii="Arial" w:hAnsi="Arial"/>
                <w:b/>
                <w:color w:val="E65100"/>
                <w:sz w:val="22"/>
                <w:u w:val="none"/>
              </w:rPr>
              <w:t xml:space="preserve">3.  </w:t>
            </w:r>
            <w:r>
              <w:rPr>
                <w:rFonts w:ascii="Arial" w:hAnsi="Arial"/>
                <w:b/>
                <w:color w:val="E65100"/>
                <w:sz w:val="22"/>
                <w:u w:val="single"/>
              </w:rPr>
              <w:t>Prioritize</w:t>
            </w:r>
            <w:r>
              <w:rPr>
                <w:rFonts w:ascii="Arial" w:hAnsi="Arial"/>
                <w:b/>
                <w:color w:val="E65100"/>
                <w:sz w:val="22"/>
                <w:u w:val="none"/>
              </w:rPr>
              <w:t xml:space="preserve"> Security Attestation for Critical Vendor Tier</w:t>
            </w:r>
          </w:p>
          <w:p>
            <w:pPr>
              <w:spacing w:after="0"/>
            </w:pPr>
            <w:r>
              <w:rPr>
                <w:rFonts w:ascii="Arial" w:hAnsi="Arial"/>
                <w:b w:val="0"/>
                <w:color w:val="111827"/>
                <w:sz w:val="20"/>
              </w:rPr>
              <w:t>Eighteen percent of sector breaches originated from third-party and vendor compromise. Illumina should accelerate contractual security requirements and attestation reviews for vendors with access to instrument firmware, ICA infrastructure, or clinical data systems.</w:t>
            </w:r>
          </w:p>
        </w:tc>
      </w:tr>
    </w:tbl>
    <w:p>
      <w:pPr>
        <w:spacing w:after="160"/>
      </w:pPr>
    </w:p>
    <w:p>
      <w:pPr>
        <w:pStyle w:val="Heading1"/>
      </w:pPr>
      <w:r>
        <w:rPr>
          <w:rFonts w:ascii="Arial" w:hAnsi="Arial"/>
          <w:color w:val="E65100"/>
          <w:sz w:val="28"/>
        </w:rPr>
        <w:t>Resources &amp; Intelligence Sources</w:t>
      </w:r>
    </w:p>
    <w:p>
      <w:pPr>
        <w:spacing w:after="120"/>
      </w:pPr>
      <w:r>
        <w:rPr>
          <w:rFonts w:ascii="Arial" w:hAnsi="Arial"/>
          <w:i/>
          <w:color w:val="6B7280"/>
          <w:sz w:val="20"/>
        </w:rPr>
        <w:t>This report was compiled using the following intelligence sources:</w:t>
      </w:r>
    </w:p>
    <w:p>
      <w:pPr>
        <w:pStyle w:val="ListBullet"/>
      </w:pPr>
      <w:r>
        <w:rPr>
          <w:rFonts w:ascii="Arial" w:hAnsi="Arial"/>
          <w:b/>
          <w:sz w:val="20"/>
        </w:rPr>
        <w:t xml:space="preserve">[1] </w:t>
      </w:r>
      <w:r>
        <w:rPr>
          <w:rFonts w:ascii="Arial" w:hAnsi="Arial"/>
          <w:sz w:val="20"/>
        </w:rPr>
        <w:t>NIST National Vulnerability Database (NVD)</w:t>
      </w:r>
    </w:p>
    <w:p>
      <w:pPr>
        <w:pStyle w:val="ListBullet"/>
      </w:pPr>
      <w:r>
        <w:rPr>
          <w:rFonts w:ascii="Arial" w:hAnsi="Arial"/>
          <w:b/>
          <w:sz w:val="20"/>
        </w:rPr>
        <w:t xml:space="preserve">[2] </w:t>
      </w:r>
      <w:r>
        <w:rPr>
          <w:rFonts w:ascii="Arial" w:hAnsi="Arial"/>
          <w:sz w:val="20"/>
        </w:rPr>
        <w:t>CISA Known Exploited Vulnerabilities (KEV) Catalog</w:t>
      </w:r>
    </w:p>
    <w:p>
      <w:pPr>
        <w:pStyle w:val="ListBullet"/>
      </w:pPr>
      <w:r>
        <w:rPr>
          <w:rFonts w:ascii="Arial" w:hAnsi="Arial"/>
          <w:b/>
          <w:sz w:val="20"/>
        </w:rPr>
        <w:t xml:space="preserve">[3] </w:t>
      </w:r>
      <w:r>
        <w:rPr>
          <w:rFonts w:ascii="Arial" w:hAnsi="Arial"/>
          <w:sz w:val="20"/>
        </w:rPr>
        <w:t>Intel471 Titan threat intelligence platform</w:t>
      </w:r>
    </w:p>
    <w:p>
      <w:pPr>
        <w:pStyle w:val="ListBullet"/>
      </w:pPr>
      <w:r>
        <w:rPr>
          <w:rFonts w:ascii="Arial" w:hAnsi="Arial"/>
          <w:b/>
          <w:sz w:val="20"/>
        </w:rPr>
        <w:t xml:space="preserve">[4] </w:t>
      </w:r>
      <w:r>
        <w:rPr>
          <w:rFonts w:ascii="Arial" w:hAnsi="Arial"/>
          <w:sz w:val="20"/>
        </w:rPr>
        <w:t>CrowdStrike Falcon Intelligence</w:t>
      </w:r>
    </w:p>
    <w:p>
      <w:pPr>
        <w:spacing w:before="240" w:after="120"/>
      </w:pPr>
      <w:r>
        <w:rPr>
          <w:rFonts w:ascii="Arial" w:hAnsi="Arial"/>
          <w:b/>
          <w:sz w:val="20"/>
        </w:rPr>
        <w:t>Open Source Intelligence (OSINT) Sources:</w:t>
      </w:r>
    </w:p>
    <w:p>
      <w:pPr>
        <w:pStyle w:val="ListBullet"/>
      </w:pPr>
      <w:r>
        <w:rPr>
          <w:rFonts w:ascii="Arial" w:hAnsi="Arial"/>
          <w:i/>
          <w:color w:val="6B7280"/>
          <w:sz w:val="20"/>
        </w:rPr>
        <w:t>No OSINT sources were referenced in this report</w:t>
      </w:r>
    </w:p>
    <w:p>
      <w:pPr>
        <w:spacing w:after="120"/>
      </w:pPr>
    </w:p>
    <w:p>
      <w:pPr>
        <w:jc w:val="left"/>
      </w:pPr>
      <w:r>
        <w:rPr>
          <w:rFonts w:ascii="Arial" w:hAnsi="Arial"/>
          <w:b/>
          <w:color w:val="555555"/>
          <w:sz w:val="20"/>
          <w:u w:val="none"/>
        </w:rPr>
        <w:t>Questions or suspicious activity: secops@illumina.com | ServiceNow</w:t>
      </w:r>
    </w:p>
    <w:p>
      <w:pPr>
        <w:spacing w:after="120"/>
      </w:pPr>
    </w:p>
    <w:sectPr w:rsidR="00FC693F" w:rsidRPr="0006063C" w:rsidSect="00034616">
      <w:pgPr>
        <w:vAlign w:val="top"/>
      </w:pgPr>
      <w:headerReference w:type="default" r:id="rId9"/>
      <w:footerReference w:type="default" r:id="rId10"/>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