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216" w:lineRule="auto"/>
        <w:jc w:val="left"/>
      </w:pPr>
      <w:r>
        <w:rPr>
          <w:rFonts w:ascii="Arial" w:hAnsi="Arial"/>
          <w:b/>
          <w:color w:val="FF5C41"/>
          <w:sz w:val="36"/>
        </w:rPr>
        <w:t>Cyber Threat Intelligence Weekly Report</w:t>
      </w:r>
    </w:p>
    <w:p>
      <w:pPr>
        <w:spacing w:before="40" w:after="120"/>
        <w:jc w:val="left"/>
      </w:pPr>
      <w:r>
        <w:rPr>
          <w:rFonts w:ascii="Arial" w:hAnsi="Arial"/>
          <w:color w:val="B0B0B0"/>
          <w:sz w:val="20"/>
        </w:rPr>
        <w:t>Week 16 | April 13 to 19, 2026</w:t>
      </w:r>
    </w:p>
    <w:p/>
    <w:p>
      <w:pPr>
        <w:pStyle w:val="Heading1"/>
        <w:spacing w:before="0" w:after="0"/>
      </w:pPr>
      <w:r>
        <w:rPr>
          <w:rFonts w:ascii="Arial" w:hAnsi="Arial"/>
          <w:b/>
          <w:color w:val="FF5C41"/>
          <w:sz w:val="28"/>
        </w:rPr>
        <w:t>Executive Summary</w:t>
      </w:r>
    </w:p>
    <w:p>
      <w:pPr>
        <w:spacing w:before="0" w:after="0"/>
        <w:jc w:val="center"/>
      </w:pPr>
      <w:r>
        <w:rPr>
          <w:color w:val="666666"/>
          <w:sz w:val="21"/>
        </w:rPr>
        <w:t>•</w:t>
      </w:r>
    </w:p>
    <w:p>
      <w:pPr>
        <w:spacing w:before="0" w:after="80" w:line="360" w:lineRule="auto"/>
      </w:pPr>
      <w:r>
        <w:rPr>
          <w:rFonts w:ascii="Arial" w:hAnsi="Arial"/>
          <w:color w:val="333333"/>
          <w:sz w:val="21"/>
        </w:rPr>
        <w:t>During the reporting period, several high and critical vulnerabilities were disclosed that could pose significant risks to genomics, biotech, and manufacturing operations. These include privilege escalation, code execution, and SQL injection vulnerabilities in core identity systems, laboratory platforms, and IoT devices. Additionally, recent threat intelligence indicates sustained targeting of healthcare and manufacturing sectors by state-sponsored Advanced Persistent Threat groups and criminal actors, especially from China, Russia, and Brazil. Remote access trojans and information stealers such as Agent Tesla, Stealc, and Formbook were also observed in the wild with command and control capabilities. The combination of targeted APT campaigns and severe vulnerabilities increases the likelihood of data theft, equipment disruption, ransomware extortion, and supply chain compromise for organizations in our industry.</w:t>
      </w:r>
    </w:p>
    <w:p>
      <w:pPr>
        <w:pStyle w:val="Heading1"/>
        <w:spacing w:before="120" w:after="0"/>
      </w:pPr>
      <w:r>
        <w:rPr>
          <w:rFonts w:ascii="Arial" w:hAnsi="Arial"/>
          <w:b/>
          <w:color w:val="FF5C41"/>
          <w:sz w:val="28"/>
        </w:rPr>
        <w:t xml:space="preserve">This Week </w:t>
      </w:r>
      <w:r>
        <w:rPr>
          <w:rFonts w:ascii="Arial" w:hAnsi="Arial"/>
          <w:b/>
          <w:color w:val="FF5C41"/>
          <w:sz w:val="28"/>
          <w:u w:val="none"/>
        </w:rPr>
        <w:t>at a Glance</w:t>
      </w:r>
    </w:p>
    <w:p>
      <w:pPr>
        <w:spacing w:before="200" w:after="80"/>
      </w:pPr>
      <w:r>
        <w:rPr>
          <w:rFonts w:ascii="Arial" w:hAnsi="Arial"/>
          <w:i/>
          <w:color w:val="B0B0B0"/>
          <w:sz w:val="18"/>
        </w:rPr>
        <w:t>Vulnerability and threat actor metrics from automated collection (April 13 to 19, 2026).</w:t>
      </w: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30</w:t>
            </w:r>
          </w:p>
          <w:p>
            <w:pPr>
              <w:spacing w:before="0" w:after="40"/>
              <w:jc w:val="center"/>
            </w:pPr>
            <w:r>
              <w:rPr>
                <w:b/>
                <w:color w:val="000000"/>
                <w:sz w:val="20"/>
              </w:rPr>
              <w:t>New This Week</w:t>
            </w:r>
          </w:p>
          <w:p>
            <w:pPr>
              <w:spacing w:before="0" w:after="160"/>
              <w:jc w:val="center"/>
            </w:pPr>
            <w:r>
              <w:rPr>
                <w:rFonts w:ascii="Arial" w:hAnsi="Arial"/>
                <w:color w:val="666666"/>
                <w:sz w:val="16"/>
              </w:rPr>
              <w:t>First appearance in Rapid7 scans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7</w:t>
            </w:r>
          </w:p>
          <w:p>
            <w:pPr>
              <w:spacing w:before="0" w:after="40"/>
              <w:jc w:val="center"/>
            </w:pPr>
            <w:r>
              <w:rPr>
                <w:b/>
                <w:color w:val="000000"/>
                <w:sz w:val="20"/>
              </w:rPr>
              <w:t>Persistent (3+ Wks)</w:t>
            </w:r>
          </w:p>
          <w:p>
            <w:pPr>
              <w:spacing w:before="0" w:after="160"/>
              <w:jc w:val="center"/>
            </w:pPr>
            <w:r>
              <w:rPr>
                <w:rFonts w:ascii="Arial" w:hAnsi="Arial"/>
                <w:color w:val="666666"/>
                <w:sz w:val="16"/>
              </w:rPr>
              <w:t>Unresolved from prior reports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2ECC71"/>
                <w:sz w:val="44"/>
              </w:rPr>
              <w:t>0</w:t>
            </w:r>
          </w:p>
          <w:p>
            <w:pPr>
              <w:spacing w:before="0" w:after="40"/>
              <w:jc w:val="center"/>
            </w:pPr>
            <w:r>
              <w:rPr>
                <w:b/>
                <w:color w:val="000000"/>
                <w:sz w:val="20"/>
              </w:rPr>
              <w:t>Resolved</w:t>
            </w:r>
          </w:p>
          <w:p>
            <w:pPr>
              <w:spacing w:before="0" w:after="160"/>
              <w:jc w:val="center"/>
            </w:pPr>
            <w:r>
              <w:rPr>
                <w:rFonts w:ascii="Arial" w:hAnsi="Arial"/>
                <w:color w:val="666666"/>
                <w:sz w:val="16"/>
              </w:rPr>
              <w:t>Remediated since last week</w:t>
            </w:r>
          </w:p>
        </w:tc>
      </w:tr>
    </w:tbl>
    <w:p>
      <w:pPr>
        <w:spacing w:before="0" w:after="400"/>
      </w:pP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30</w:t>
            </w:r>
          </w:p>
          <w:p>
            <w:pPr>
              <w:spacing w:before="0" w:after="40"/>
              <w:jc w:val="center"/>
            </w:pPr>
            <w:r>
              <w:rPr>
                <w:b/>
                <w:color w:val="000000"/>
                <w:sz w:val="20"/>
              </w:rPr>
              <w:t>Total Exposed</w:t>
            </w:r>
          </w:p>
          <w:p>
            <w:pPr>
              <w:spacing w:before="0" w:after="160"/>
              <w:jc w:val="center"/>
            </w:pPr>
            <w:r>
              <w:rPr>
                <w:rFonts w:ascii="Arial" w:hAnsi="Arial"/>
                <w:color w:val="666666"/>
                <w:sz w:val="16"/>
              </w:rPr>
              <w:t>CVEs on assets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0</w:t>
            </w:r>
          </w:p>
          <w:p>
            <w:pPr>
              <w:spacing w:before="0" w:after="40"/>
              <w:jc w:val="center"/>
            </w:pPr>
            <w:r>
              <w:rPr>
                <w:b/>
                <w:color w:val="000000"/>
                <w:sz w:val="20"/>
              </w:rPr>
              <w:t>Actively Exploited</w:t>
            </w:r>
          </w:p>
          <w:p>
            <w:pPr>
              <w:spacing w:before="0" w:after="160"/>
              <w:jc w:val="center"/>
            </w:pPr>
            <w:r>
              <w:rPr>
                <w:rFonts w:ascii="Arial" w:hAnsi="Arial"/>
                <w:color w:val="666666"/>
                <w:sz w:val="16"/>
              </w:rPr>
              <w:t>Confirmed threat actor use</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49</w:t>
            </w:r>
          </w:p>
          <w:p>
            <w:pPr>
              <w:spacing w:before="0" w:after="40"/>
              <w:jc w:val="center"/>
            </w:pPr>
            <w:r>
              <w:rPr>
                <w:b/>
                <w:color w:val="000000"/>
                <w:sz w:val="20"/>
              </w:rPr>
              <w:t>Actor Groups</w:t>
            </w:r>
          </w:p>
          <w:p>
            <w:pPr>
              <w:spacing w:before="0" w:after="160"/>
              <w:jc w:val="center"/>
            </w:pPr>
            <w:r>
              <w:rPr>
                <w:rFonts w:ascii="Arial" w:hAnsi="Arial"/>
                <w:color w:val="666666"/>
                <w:sz w:val="16"/>
              </w:rPr>
              <w:t>Targeting biotech sector</w:t>
            </w:r>
          </w:p>
        </w:tc>
      </w:tr>
    </w:tbl>
    <w:p>
      <w:pPr>
        <w:spacing w:before="0" w:after="120"/>
      </w:pPr>
    </w:p>
    <w:p>
      <w:pPr>
        <w:pStyle w:val="Heading1"/>
      </w:pPr>
      <w:r>
        <w:rPr>
          <w:rFonts w:ascii="Arial" w:hAnsi="Arial"/>
          <w:color w:val="FF5C41"/>
          <w:sz w:val="28"/>
        </w:rPr>
        <w:t>Vulnerability Exposure</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CVE ID</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Affected Product</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Exposure</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Exploited By</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Risk</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Wks</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CVE-2026-1346</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Critical</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CVE-2026-1342</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High</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CVE-2026-1343</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High</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CVE-2026-27143</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Critical</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CVE-2026-3296</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Critical</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CVE-2026-4003</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Critical</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CVE-2026-3535</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Critical</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CVE-2026-25776</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Critical</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CVE-2026-39466</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High</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CVE-2026-27140</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High</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CVE-2026-4788</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High</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CVE-2026-33088</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N/A</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High</w:t>
            </w:r>
          </w:p>
        </w:tc>
        <w:tc>
          <w:tcPr>
            <w:tcW w:type="dxa" w:w="1680"/>
            <w:tcBorders>
              <w:top w:val="single" w:sz="4" w:space="0" w:color="CCCCCC"/>
              <w:bottom w:val="single" w:sz="4" w:space="0" w:color="CCCCCC"/>
              <w:left w:val="single" w:sz="4" w:space="0" w:color="CCCCCC"/>
              <w:right w:val="single" w:sz="4" w:space="0" w:color="CCCCCC"/>
            </w:tcBorders>
          </w:tcPr>
          <w:p>
            <w:pPr>
              <w:jc w:val="center"/>
            </w:pPr>
            <w:r>
              <w:rPr>
                <w:color w:val="333333"/>
                <w:sz w:val="18"/>
              </w:rPr>
              <w:t>New</w:t>
            </w:r>
          </w:p>
        </w:tc>
      </w:tr>
    </w:tbl>
    <w:p>
      <w:pPr>
        <w:jc w:val="left"/>
      </w:pPr>
      <w:r>
        <w:rPr>
          <w:rFonts w:ascii="Arial" w:hAnsi="Arial"/>
          <w:i/>
          <w:color w:val="666666"/>
          <w:sz w:val="14"/>
        </w:rPr>
        <w:t>Wks = consecutive weeks detected. Items at 3+ weeks highlighted. Source: Rapid7 InsightVM scans.</w:t>
      </w:r>
    </w:p>
    <w:p/>
    <w:p>
      <w:pPr>
        <w:pStyle w:val="Heading1"/>
      </w:pPr>
      <w:r>
        <w:rPr>
          <w:rFonts w:ascii="Arial" w:hAnsi="Arial"/>
          <w:color w:val="FF5C41"/>
          <w:sz w:val="28"/>
        </w:rPr>
        <w:t>Sector Threat Activity</w:t>
      </w:r>
    </w:p>
    <w:p>
      <w:r>
        <w:rPr>
          <w:i/>
          <w:color w:val="666666"/>
          <w:sz w:val="20"/>
        </w:rPr>
        <w:t>The following threat actors have been observed targeting organizations in the biotech, pharmaceutical, healthcare, manufacturing, and related sectors this week.</w:t>
      </w:r>
    </w:p>
    <w:p/>
    <w:tbl>
      <w:tblPr>
        <w:tblW w:type="auto" w:w="0"/>
        <w:tblLook w:firstColumn="1" w:firstRow="1" w:lastColumn="0" w:lastRow="0" w:noHBand="0" w:noVBand="1" w:val="04A0"/>
      </w:tblPr>
      <w:tblGrid>
        <w:gridCol w:w="3360"/>
        <w:gridCol w:w="3360"/>
        <w:gridCol w:w="3360"/>
      </w:tblGrid>
      <w:tr>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Origin / Motivation</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Activity Observed</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What to Monitor</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China</w:t>
              <w:br/>
              <w:t>State-Sponsored</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CASCADE PANDA</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Brazil</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PLUMP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Russian Federation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ROYAL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HOOK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China</w:t>
              <w:br/>
              <w:t>State-Sponsored</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MUSTANG PANDA</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r>
          </w:p>
        </w:tc>
      </w:tr>
    </w:tbl>
    <w:p/>
    <w:p>
      <w:pPr>
        <w:pStyle w:val="Heading1"/>
      </w:pPr>
      <w:r>
        <w:rPr>
          <w:rFonts w:ascii="Arial" w:hAnsi="Arial"/>
          <w:color w:val="FF5C41"/>
          <w:sz w:val="28"/>
        </w:rPr>
        <w:t>Exploitation Indicators for This Week's CVEs</w:t>
      </w:r>
    </w:p>
    <w:p>
      <w:pPr>
        <w:pStyle w:val="ListBullet"/>
      </w:pPr>
      <w:r>
        <w:rPr>
          <w:b/>
          <w:sz w:val="20"/>
        </w:rPr>
        <w:t>CVE-2026-1346 (Unknown): Privilege escalation to root in IBM Verify Identity Access and Security Verify Access containers.</w:t>
      </w:r>
    </w:p>
    <w:p>
      <w:pPr>
        <w:pStyle w:val="ListBullet"/>
      </w:pPr>
      <w:r>
        <w:rPr>
          <w:b/>
          <w:sz w:val="20"/>
        </w:rPr>
        <w:t>CVE-2026-1342 (Unknown): Execution of malicious scripts outside control sphere for locally authenticated users.</w:t>
      </w:r>
    </w:p>
    <w:p>
      <w:pPr>
        <w:pStyle w:val="ListBullet"/>
      </w:pPr>
      <w:r>
        <w:rPr>
          <w:b/>
          <w:sz w:val="20"/>
        </w:rPr>
        <w:t>CVE-2026-1343 (Unknown): Allows attackers to contact protected authentication endpoints via reverse proxy.</w:t>
      </w:r>
    </w:p>
    <w:p>
      <w:pPr>
        <w:pStyle w:val="ListBullet"/>
      </w:pPr>
      <w:r>
        <w:rPr>
          <w:b/>
          <w:sz w:val="20"/>
        </w:rPr>
        <w:t>CVE-2026-27143 (Unknown): Compiler fails to check arithmetic underflow and overflow for induction variables.</w:t>
      </w:r>
    </w:p>
    <w:p>
      <w:pPr>
        <w:pStyle w:val="ListBullet"/>
      </w:pPr>
      <w:r>
        <w:rPr>
          <w:b/>
          <w:sz w:val="20"/>
        </w:rPr>
        <w:t>CVE-2026-3296 (Unknown): PHP object injection vulnerability in Everest Forms plugin for WordPress.</w:t>
      </w:r>
    </w:p>
    <w:p/>
    <w:p>
      <w:pPr>
        <w:pStyle w:val="Heading1"/>
      </w:pPr>
      <w:r>
        <w:rPr>
          <w:rFonts w:ascii="Arial" w:hAnsi="Arial"/>
          <w:color w:val="FF5C41"/>
          <w:sz w:val="28"/>
        </w:rPr>
        <w:t>Recommended Actions</w:t>
      </w:r>
    </w:p>
    <w:p>
      <w:pPr>
        <w:pStyle w:val="ListBullet"/>
      </w:pPr>
      <w:r>
        <w:rPr>
          <w:b/>
          <w:sz w:val="20"/>
        </w:rPr>
        <w:t>Immediately review and patch all affected IBM Verify Identity Access, Security Verify Access, Movable Type, Everest Forms, and DSGVO WordPress plugins to latest versions or apply vendor-recommended mitigations.</w:t>
      </w:r>
    </w:p>
    <w:p>
      <w:pPr>
        <w:pStyle w:val="ListBullet"/>
      </w:pPr>
      <w:r>
        <w:rPr>
          <w:sz w:val="20"/>
        </w:rPr>
        <w:t>Conduct targeted threat hunting and log analysis for evidence of APT activity and malware associated with Agent Tesla, Stealc, Formbook, Modi, and similar remote access trojans.</w:t>
      </w:r>
    </w:p>
    <w:p>
      <w:pPr>
        <w:pStyle w:val="ListBullet"/>
      </w:pPr>
      <w:r>
        <w:rPr>
          <w:sz w:val="20"/>
        </w:rPr>
        <w:t>Implement robust segmentation and access controls on laboratory equipment, IoT devices, and core authentication systems to limit lateral movement and privilege escalation.</w:t>
      </w:r>
    </w:p>
    <w:p>
      <w:pPr>
        <w:pStyle w:val="ListBullet"/>
      </w:pPr>
      <w:r>
        <w:rPr>
          <w:sz w:val="20"/>
        </w:rPr>
        <w:t>Strengthen supply chain security by validating software composition and build processes, especially for platforms reliant on vulnerable compiler, SWIG, or plugin components.</w:t>
      </w:r>
    </w:p>
    <w:p>
      <w:pPr>
        <w:pStyle w:val="ListBullet"/>
      </w:pPr>
      <w:r>
        <w:rPr>
          <w:sz w:val="20"/>
        </w:rPr>
        <w:t>Review incident response plans with emphasis on ransomware, extortion, and regulatory-required notifications for patient and research data breaches, ensuring HIPAA and FDA compliance readiness.</w:t>
      </w:r>
    </w:p>
    <w:p/>
    <w:p>
      <w:pPr>
        <w:jc w:val="center"/>
      </w:pPr>
      <w:r>
        <w:rPr>
          <w:b/>
          <w:sz w:val="20"/>
        </w:rPr>
        <w:t>Questions or suspicious activity: secops@company.com | ServiceNow | cti@company.com</w:t>
      </w:r>
    </w:p>
    <w:p/>
    <w:p>
      <w:pPr>
        <w:jc w:val="center"/>
      </w:pPr>
      <w:r>
        <w:rPr>
          <w:b/>
          <w:color w:val="B0B0B0"/>
          <w:sz w:val="16"/>
        </w:rPr>
        <w:t>Data Sources: Compiled via automated collection from NVD, CrowdStrike Falcon Intelligence, Intel471, Rapid7 InsightVM, and ThreatQ. Analysis performed by AI-assisted threat analysis.</w:t>
      </w:r>
    </w:p>
    <w:sectPr w:rsidR="00FC693F" w:rsidRPr="0006063C" w:rsidSect="00034616">
      <w:background w:color="FFFFFF"/>
      <w:pgPr>
        <w:vAlign w:val="top"/>
      </w:pgPr>
      <w:headerReference w:type="default" r:id="rId9"/>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p>
    <w:pPr>
      <w:spacing w:before="40" w:after="0"/>
      <w:jc w:val="right"/>
    </w:pPr>
    <w:r>
      <w:rPr>
        <w:rFonts w:ascii="Consolas" w:hAnsi="Consolas"/>
        <w:color w:val="B0B0B0"/>
        <w:sz w:val="16"/>
      </w:rPr>
      <w:t>CTI-WK-2026-16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color w:val="33333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