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66666"/>
          <w:sz w:val="18"/>
        </w:rPr>
        <w:t>CTI-QTR-2026-Q2</w:t>
      </w:r>
    </w:p>
    <w:p>
      <w:pPr>
        <w:spacing w:after="0"/>
        <w:jc w:val="center"/>
      </w:pPr>
      <w:r>
        <w:rPr>
          <w:rFonts w:ascii="Arial" w:hAnsi="Arial"/>
          <w:b/>
          <w:color w:val="E65100"/>
          <w:sz w:val="40"/>
        </w:rPr>
        <w:t>Quarterly Strategic Brief</w:t>
      </w:r>
    </w:p>
    <w:p>
      <w:pPr>
        <w:pStyle w:val="Subtitle"/>
        <w:spacing w:after="0"/>
        <w:jc w:val="center"/>
      </w:pPr>
      <w:r>
        <w:rPr>
          <w:rFonts w:ascii="Arial" w:hAnsi="Arial"/>
          <w:color w:val="555555"/>
        </w:rPr>
        <w:t>90-Day Lookback | February 18 to May 19, 2026</w:t>
      </w:r>
    </w:p>
    <w:p/>
    <w:p>
      <w:pPr>
        <w:pStyle w:val="Heading1"/>
        <w:spacing w:after="120"/>
      </w:pPr>
      <w:r>
        <w:rPr>
          <w:rFonts w:ascii="Arial" w:hAnsi="Arial"/>
          <w:color w:val="E65100"/>
          <w:sz w:val="28"/>
        </w:rPr>
        <w:t>Executive Summary</w:t>
      </w:r>
    </w:p>
    <w:p>
      <w:r>
        <w:rPr>
          <w:rFonts w:ascii="Arial" w:hAnsi="Arial"/>
          <w:sz w:val="21"/>
        </w:rPr>
        <w:t>The threat landscape for the genomics, life sciences, and precision manufacturing sectors remained elevated throughout Q1 2026, with 47 publicly disclosed breaches affecting peer organizations in the industry. Estimated aggregate impact exceeded $127M in direct costs and regulatory penalties.</w:t>
      </w:r>
    </w:p>
    <w:p>
      <w:r>
        <w:rPr>
          <w:rFonts w:ascii="Arial" w:hAnsi="Arial"/>
          <w:sz w:val="21"/>
        </w:rPr>
        <w:t>No direct threats to the organization were identified this quarter; however, the threat actors, techniques, and vulnerabilities observed are consistent with those historically used against genomics companies. Nation-state espionage activity, particularly from China-linked actors, showed increased focus on biomanufacturing IP and clinical trial data.</w:t>
      </w:r>
    </w:p>
    <w:p/>
    <w:p>
      <w:pPr>
        <w:pStyle w:val="Heading1"/>
        <w:spacing w:before="240" w:after="120"/>
      </w:pPr>
      <w:r>
        <w:rPr>
          <w:rFonts w:ascii="Arial" w:hAnsi="Arial"/>
          <w:color w:val="E65100"/>
          <w:sz w:val="28"/>
        </w:rPr>
        <w:t>Quarterly Risk Assessment</w:t>
      </w:r>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Nation-State Espionage</w:t>
            </w:r>
          </w:p>
          <w:p>
            <w:pPr>
              <w:spacing w:before="0" w:after="0"/>
              <w:jc w:val="center"/>
            </w:pPr>
            <w:r>
              <w:rPr>
                <w:rFonts w:ascii="Arial" w:hAnsi="Arial"/>
                <w:b/>
                <w:color w:val="F47F7D"/>
                <w:sz w:val="28"/>
              </w:rPr>
              <w:t>HIGH</w:t>
            </w:r>
          </w:p>
          <w:p>
            <w:pPr>
              <w:spacing w:before="0" w:after="0"/>
              <w:jc w:val="center"/>
            </w:pPr>
            <w:r>
              <w:rPr>
                <w:rFonts w:ascii="Arial" w:hAnsi="Arial"/>
                <w:color w:val="333333"/>
                <w:sz w:val="16"/>
              </w:rPr>
              <w:t>vs Q1: Unchanged</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Ransomware &amp; Extortion</w:t>
            </w:r>
          </w:p>
          <w:p>
            <w:pPr>
              <w:spacing w:before="0" w:after="0"/>
              <w:jc w:val="center"/>
            </w:pPr>
            <w:r>
              <w:rPr>
                <w:rFonts w:ascii="Arial" w:hAnsi="Arial"/>
                <w:b/>
                <w:color w:val="F47F7D"/>
                <w:sz w:val="28"/>
              </w:rPr>
              <w:t>HIGH</w:t>
            </w:r>
          </w:p>
          <w:p>
            <w:pPr>
              <w:spacing w:before="0" w:after="0"/>
              <w:jc w:val="center"/>
            </w:pPr>
            <w:r>
              <w:rPr>
                <w:rFonts w:ascii="Arial" w:hAnsi="Arial"/>
                <w:color w:val="F47F7D"/>
                <w:sz w:val="16"/>
              </w:rPr>
              <w:t>vs Q1: +50%</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Supply Chain Compromise</w:t>
            </w:r>
          </w:p>
          <w:p>
            <w:pPr>
              <w:spacing w:before="0" w:after="0"/>
              <w:jc w:val="center"/>
            </w:pPr>
            <w:r>
              <w:rPr>
                <w:rFonts w:ascii="Arial" w:hAnsi="Arial"/>
                <w:b/>
                <w:color w:val="FFA500"/>
                <w:sz w:val="28"/>
              </w:rPr>
              <w:t>MEDIUM</w:t>
            </w:r>
          </w:p>
          <w:p>
            <w:pPr>
              <w:spacing w:before="0" w:after="0"/>
              <w:jc w:val="center"/>
            </w:pPr>
            <w:r>
              <w:rPr>
                <w:rFonts w:ascii="Arial" w:hAnsi="Arial"/>
                <w:color w:val="333333"/>
                <w:sz w:val="16"/>
              </w:rPr>
              <w:t>vs Q1: Unchanged</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Insider Threat</w:t>
            </w:r>
          </w:p>
          <w:p>
            <w:pPr>
              <w:spacing w:before="0" w:after="0"/>
              <w:jc w:val="center"/>
            </w:pPr>
            <w:r>
              <w:rPr>
                <w:rFonts w:ascii="Arial" w:hAnsi="Arial"/>
                <w:b/>
                <w:color w:val="7FCB7F"/>
                <w:sz w:val="28"/>
              </w:rPr>
              <w:t>LOW</w:t>
            </w:r>
          </w:p>
          <w:p>
            <w:pPr>
              <w:spacing w:before="0" w:after="0"/>
              <w:jc w:val="center"/>
            </w:pPr>
            <w:r>
              <w:rPr>
                <w:rFonts w:ascii="Arial" w:hAnsi="Arial"/>
                <w:color w:val="333333"/>
                <w:sz w:val="16"/>
              </w:rPr>
              <w:t>vs Q1: Unchanged</w:t>
            </w:r>
          </w:p>
        </w:tc>
      </w:tr>
    </w:tbl>
    <w:p/>
    <w:p>
      <w:pPr>
        <w:pStyle w:val="Heading1"/>
        <w:spacing w:before="240" w:after="120"/>
      </w:pPr>
      <w:r>
        <w:rPr>
          <w:rFonts w:ascii="Arial" w:hAnsi="Arial"/>
          <w:color w:val="E65100"/>
          <w:sz w:val="28"/>
        </w:rPr>
        <w:t>Industry Breach Landscape</w:t>
      </w:r>
    </w:p>
    <w:p>
      <w:r>
        <w:rPr>
          <w:rFonts w:ascii="Arial" w:hAnsi="Arial"/>
          <w:i/>
          <w:color w:val="666666"/>
          <w:sz w:val="18"/>
        </w:rPr>
        <w:t>Publicly disclosed security incidents affecting life sciences, pharmaceutical, biotechnology, healthcare, and advanced manufacturing organizations during Q2 2026.</w:t>
      </w:r>
    </w:p>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47</w:t>
            </w:r>
          </w:p>
          <w:p>
            <w:pPr>
              <w:spacing w:before="0" w:after="0"/>
              <w:jc w:val="center"/>
            </w:pPr>
            <w:r>
              <w:rPr>
                <w:rFonts w:ascii="Arial" w:hAnsi="Arial"/>
                <w:b/>
                <w:color w:val="F0F0F0"/>
                <w:sz w:val="17"/>
              </w:rPr>
              <w:t>Total Incidents</w:t>
            </w:r>
          </w:p>
          <w:p>
            <w:pPr>
              <w:spacing w:before="0" w:after="0"/>
              <w:jc w:val="center"/>
            </w:pPr>
            <w:r>
              <w:rPr>
                <w:rFonts w:ascii="Arial" w:hAnsi="Arial"/>
                <w:color w:val="F0F0F0"/>
                <w:sz w:val="14"/>
              </w:rPr>
              <w:t xml:space="preserve">Q1 2026: 36 </w:t>
            </w:r>
            <w:r>
              <w:rPr>
                <w:rFonts w:ascii="Arial" w:hAnsi="Arial"/>
                <w:color w:val="E65100"/>
                <w:sz w:val="14"/>
              </w:rPr>
              <w:t>+30%</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$127M</w:t>
            </w:r>
          </w:p>
          <w:p>
            <w:pPr>
              <w:spacing w:before="0" w:after="0"/>
              <w:jc w:val="center"/>
            </w:pPr>
            <w:r>
              <w:rPr>
                <w:rFonts w:ascii="Arial" w:hAnsi="Arial"/>
                <w:b/>
                <w:color w:val="F0F0F0"/>
                <w:sz w:val="17"/>
              </w:rPr>
              <w:t>Est. Total Impact</w:t>
            </w:r>
          </w:p>
          <w:p>
            <w:pPr>
              <w:spacing w:before="0" w:after="0"/>
              <w:jc w:val="center"/>
            </w:pPr>
            <w:r>
              <w:rPr>
                <w:rFonts w:ascii="Arial" w:hAnsi="Arial"/>
                <w:color w:val="F0F0F0"/>
                <w:sz w:val="14"/>
              </w:rPr>
              <w:t xml:space="preserve">Q1 2026: $89M </w:t>
            </w:r>
            <w:r>
              <w:rPr>
                <w:rFonts w:ascii="Arial" w:hAnsi="Arial"/>
                <w:color w:val="E65100"/>
                <w:sz w:val="14"/>
              </w:rPr>
              <w:t>+42%</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18</w:t>
            </w:r>
          </w:p>
          <w:p>
            <w:pPr>
              <w:spacing w:before="0" w:after="0"/>
              <w:jc w:val="center"/>
            </w:pPr>
            <w:r>
              <w:rPr>
                <w:rFonts w:ascii="Arial" w:hAnsi="Arial"/>
                <w:b/>
                <w:color w:val="F0F0F0"/>
                <w:sz w:val="17"/>
              </w:rPr>
              <w:t>Ransomware</w:t>
            </w:r>
          </w:p>
          <w:p>
            <w:pPr>
              <w:spacing w:before="0" w:after="0"/>
              <w:jc w:val="center"/>
            </w:pPr>
            <w:r>
              <w:rPr>
                <w:rFonts w:ascii="Arial" w:hAnsi="Arial"/>
                <w:color w:val="F0F0F0"/>
                <w:sz w:val="14"/>
              </w:rPr>
              <w:t xml:space="preserve">Q1 2026: 12 </w:t>
            </w:r>
            <w:r>
              <w:rPr>
                <w:rFonts w:ascii="Arial" w:hAnsi="Arial"/>
                <w:color w:val="E65100"/>
                <w:sz w:val="14"/>
              </w:rPr>
              <w:t>+50%</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4.2M</w:t>
            </w:r>
          </w:p>
          <w:p>
            <w:pPr>
              <w:spacing w:before="0" w:after="0"/>
              <w:jc w:val="center"/>
            </w:pPr>
            <w:r>
              <w:rPr>
                <w:rFonts w:ascii="Arial" w:hAnsi="Arial"/>
                <w:b/>
                <w:color w:val="F0F0F0"/>
                <w:sz w:val="17"/>
              </w:rPr>
              <w:t>Records Exposed</w:t>
            </w:r>
          </w:p>
          <w:p>
            <w:pPr>
              <w:spacing w:before="0" w:after="0"/>
              <w:jc w:val="center"/>
            </w:pPr>
            <w:r>
              <w:rPr>
                <w:rFonts w:ascii="Arial" w:hAnsi="Arial"/>
                <w:color w:val="F0F0F0"/>
                <w:sz w:val="14"/>
              </w:rPr>
              <w:t xml:space="preserve">Q1 2026: 2.8M </w:t>
            </w:r>
            <w:r>
              <w:rPr>
                <w:rFonts w:ascii="Arial" w:hAnsi="Arial"/>
                <w:color w:val="E65100"/>
                <w:sz w:val="14"/>
              </w:rPr>
              <w:t>+50%</w:t>
            </w:r>
          </w:p>
        </w:tc>
      </w:tr>
    </w:tbl>
    <w:p/>
    <w:p>
      <w:pPr>
        <w:pStyle w:val="Heading2"/>
        <w:spacing w:after="120"/>
      </w:pPr>
      <w:r>
        <w:rPr>
          <w:rFonts w:ascii="Arial" w:hAnsi="Arial"/>
          <w:color w:val="000000"/>
          <w:sz w:val="24"/>
        </w:rPr>
        <w:t>Incidents by Type</w:t>
      </w:r>
    </w:p>
    <w:tbl>
      <w:tblPr>
        <w:tblW w:type="auto" w:w="0"/>
        <w:tblLook w:firstColumn="1" w:firstRow="1" w:lastColumn="0" w:lastRow="0" w:noHBand="0" w:noVBand="1" w:val="04A0"/>
      </w:tblPr>
      <w:tblGrid>
        <w:gridCol w:w="2160"/>
        <w:gridCol w:w="720"/>
        <w:gridCol w:w="720"/>
        <w:gridCol w:w="6480"/>
      </w:tblGrid>
      <w:tr>
        <w:tc>
          <w:tcPr>
            <w:tcW w:type="dxa" w:w="2520"/>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Incident Type</w:t>
            </w:r>
          </w:p>
        </w:tc>
        <w:tc>
          <w:tcPr>
            <w:tcW w:type="dxa" w:w="2520"/>
            <w:vAlign w:val="center"/>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Q1 2026</w:t>
            </w:r>
          </w:p>
        </w:tc>
        <w:tc>
          <w:tcPr>
            <w:tcW w:type="dxa" w:w="2520"/>
            <w:vAlign w:val="center"/>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Q4 2025</w:t>
            </w:r>
          </w:p>
        </w:tc>
        <w:tc>
          <w:tcPr>
            <w:tcW w:type="dxa" w:w="2520"/>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Notable Example</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Ransomware</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18</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12</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Pharma manufacturer: 12-day production halt, FDA notification</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Data Theft / Exfiltration</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11</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9</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Genomics institute: 2.3M patient samples accessed</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Manufacturing / OT Disruption</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5</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3</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Medical device mfg: assembly line shutdown, 8-day recovery</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Business Email Compromise</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6</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5</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CRO: $3.8M fraudulent wire transfers</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Third-Party / Vendor</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4</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4</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Lab software vendor: credentials exposed for 200+ customers</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Unauthorized Access</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3</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3</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Biotech: former employee accessed IP post-termination</w:t>
            </w:r>
          </w:p>
        </w:tc>
      </w:tr>
    </w:tbl>
    <w:p/>
    <w:p>
      <w:r>
        <w:rPr>
          <w:rFonts w:ascii="Arial" w:hAnsi="Arial"/>
          <w:b/>
          <w:color w:val="008AC9"/>
          <w:sz w:val="20"/>
        </w:rPr>
        <w:t xml:space="preserve">Common factors across incidents: </w:t>
      </w:r>
      <w:r>
        <w:rPr>
          <w:rFonts w:ascii="Arial" w:hAnsi="Arial"/>
          <w:b w:val="0"/>
          <w:sz w:val="20"/>
        </w:rPr>
        <w:t>Exploitation of unpatched internet-facing systems (34%), compromised credentials without MFA (28%), third-party vendor compromise (19%), and social engineering (19%).</w:t>
      </w:r>
    </w:p>
    <w:p>
      <w:pPr>
        <w:pStyle w:val="Heading1"/>
        <w:spacing w:before="240" w:after="120"/>
      </w:pPr>
      <w:r>
        <w:rPr>
          <w:rFonts w:ascii="Arial" w:hAnsi="Arial"/>
          <w:color w:val="E65100"/>
          <w:sz w:val="28"/>
        </w:rPr>
        <w:t>Geopolitical Threat Landscape</w:t>
      </w:r>
    </w:p>
    <w:p>
      <w:r>
        <w:rPr>
          <w:rFonts w:ascii="Arial" w:hAnsi="Arial"/>
          <w:i/>
          <w:color w:val="666666"/>
          <w:sz w:val="18"/>
        </w:rPr>
        <w:t>Nation-state cyber activity with implications for the life sciences and genomics sector during Q2 2026.</w:t>
      </w:r>
    </w:p>
    <w:p/>
    <w:p>
      <w:pPr>
        <w:pStyle w:val="Heading2"/>
        <w:spacing w:after="120"/>
      </w:pPr>
      <w:r>
        <w:rPr>
          <w:rFonts w:ascii="Arial" w:hAnsi="Arial"/>
          <w:b/>
          <w:color w:val="000000"/>
          <w:sz w:val="24"/>
        </w:rPr>
        <w:t>China</w:t>
      </w:r>
    </w:p>
    <w:p>
      <w:r>
        <w:rPr>
          <w:rFonts w:ascii="Arial" w:hAnsi="Arial"/>
          <w:b/>
          <w:color w:val="008AC9"/>
          <w:sz w:val="21"/>
        </w:rPr>
        <w:t xml:space="preserve">Strategic Context: </w:t>
      </w:r>
      <w:r>
        <w:rPr>
          <w:rFonts w:ascii="Arial" w:hAnsi="Arial"/>
          <w:b w:val="0"/>
          <w:sz w:val="21"/>
        </w:rPr>
        <w:t>China's 14th Five-Year Plan designates biotechnology as a strategic priority, with specific emphasis on genomics, precision medicine, and biomanufacturing. The Ministry of State Security (MSS) and affiliated actors continue systematic collection against Western life sciences organizations.</w:t>
      </w:r>
    </w:p>
    <w:p>
      <w:pPr>
        <w:spacing w:before="0" w:after="60"/>
      </w:pPr>
    </w:p>
    <w:p>
      <w:r>
        <w:rPr>
          <w:rFonts w:ascii="Arial" w:hAnsi="Arial"/>
          <w:b/>
          <w:color w:val="008AC9"/>
          <w:sz w:val="21"/>
        </w:rPr>
        <w:t xml:space="preserve">Q2 Activity: </w:t>
      </w:r>
      <w:r>
        <w:rPr>
          <w:rFonts w:ascii="Arial" w:hAnsi="Arial"/>
          <w:b w:val="0"/>
          <w:sz w:val="21"/>
        </w:rPr>
        <w:t>APT41 and associated clusters conducted multiple intrusions against pharmaceutical and genomics companies via compromised software update mechanisms. GENESIS PANDA conducted spearphishing campaigns targeting clinical research coordinators at 6 biotech firms.</w:t>
      </w:r>
    </w:p>
    <w:p>
      <w:pPr>
        <w:spacing w:before="0" w:after="60"/>
      </w:pPr>
    </w:p>
    <w:p>
      <w:r>
        <w:rPr>
          <w:rFonts w:ascii="Arial" w:hAnsi="Arial"/>
          <w:b/>
          <w:color w:val="008AC9"/>
          <w:sz w:val="21"/>
        </w:rPr>
        <w:t xml:space="preserve">Business Implications: </w:t>
      </w:r>
      <w:r>
        <w:rPr>
          <w:rFonts w:ascii="Arial" w:hAnsi="Arial"/>
          <w:b w:val="0"/>
          <w:sz w:val="21"/>
        </w:rPr>
        <w:t>Theft of proprietary research, sequencing technology designs, or manufacturing processes could erode competitive advantage and represent significant R&amp;D investment loss. Compromised clinical trial data raises regulatory and patient safety concerns.</w:t>
      </w:r>
    </w:p>
    <w:p>
      <w:pPr>
        <w:spacing w:before="0" w:after="240"/>
        <w:pBdr>
          <w:bottom w:val="single" w:sz="6" w:space="1" w:color="CCCCCC"/>
        </w:pBdr>
      </w:pPr>
    </w:p>
    <w:p>
      <w:pPr>
        <w:pStyle w:val="Heading2"/>
        <w:spacing w:after="120"/>
      </w:pPr>
      <w:r>
        <w:rPr>
          <w:rFonts w:ascii="Arial" w:hAnsi="Arial"/>
          <w:b/>
          <w:color w:val="000000"/>
          <w:sz w:val="24"/>
        </w:rPr>
        <w:t>Russia</w:t>
      </w:r>
    </w:p>
    <w:p>
      <w:r>
        <w:rPr>
          <w:rFonts w:ascii="Arial" w:hAnsi="Arial"/>
          <w:b/>
          <w:color w:val="008AC9"/>
          <w:sz w:val="21"/>
        </w:rPr>
        <w:t xml:space="preserve">Strategic Context: </w:t>
      </w:r>
      <w:r>
        <w:rPr>
          <w:rFonts w:ascii="Arial" w:hAnsi="Arial"/>
          <w:b w:val="0"/>
          <w:sz w:val="21"/>
        </w:rPr>
        <w:t>Russian state cyber interests in life sciences remain opportunistic, focusing on vaccine research and healthcare disruption capabilities. However, Russian-speaking criminal groups operating with tacit state approval pose the most significant threat through ransomware operations.</w:t>
      </w:r>
    </w:p>
    <w:p>
      <w:pPr>
        <w:spacing w:before="0" w:after="60"/>
      </w:pPr>
    </w:p>
    <w:p>
      <w:r>
        <w:rPr>
          <w:rFonts w:ascii="Arial" w:hAnsi="Arial"/>
          <w:b/>
          <w:color w:val="008AC9"/>
          <w:sz w:val="21"/>
        </w:rPr>
        <w:t xml:space="preserve">Q2 Activity: </w:t>
      </w:r>
      <w:r>
        <w:rPr>
          <w:rFonts w:ascii="Arial" w:hAnsi="Arial"/>
          <w:b w:val="0"/>
          <w:sz w:val="21"/>
        </w:rPr>
        <w:t>Ransomware incidents affecting healthcare, pharmaceutical, and manufacturing organizations increased 31% quarter-over-quarter. LockBit, ALPHV/BlackCat, and Cl0p affiliates accounted for the majority of incidents.</w:t>
      </w:r>
    </w:p>
    <w:p>
      <w:pPr>
        <w:spacing w:before="0" w:after="60"/>
      </w:pPr>
    </w:p>
    <w:p>
      <w:r>
        <w:rPr>
          <w:rFonts w:ascii="Arial" w:hAnsi="Arial"/>
          <w:b/>
          <w:color w:val="008AC9"/>
          <w:sz w:val="21"/>
        </w:rPr>
        <w:t xml:space="preserve">Business Implications: </w:t>
      </w:r>
      <w:r>
        <w:rPr>
          <w:rFonts w:ascii="Arial" w:hAnsi="Arial"/>
          <w:b w:val="0"/>
          <w:sz w:val="21"/>
        </w:rPr>
        <w:t>Ransomware incidents in life sciences and manufacturing average $4.2M in recovery costs and 23 days of operational disruption. Manufacturing environments face extended recovery timelines due to OT system complexity.</w:t>
      </w:r>
    </w:p>
    <w:p>
      <w:pPr>
        <w:spacing w:before="0" w:after="240"/>
        <w:pBdr>
          <w:bottom w:val="single" w:sz="6" w:space="1" w:color="CCCCCC"/>
        </w:pBdr>
      </w:pPr>
    </w:p>
    <w:p>
      <w:pPr>
        <w:pStyle w:val="Heading2"/>
        <w:spacing w:after="120"/>
      </w:pPr>
      <w:r>
        <w:rPr>
          <w:rFonts w:ascii="Arial" w:hAnsi="Arial"/>
          <w:b/>
          <w:color w:val="000000"/>
          <w:sz w:val="24"/>
        </w:rPr>
        <w:t>North Korea</w:t>
      </w:r>
    </w:p>
    <w:p>
      <w:r>
        <w:rPr>
          <w:rFonts w:ascii="Arial" w:hAnsi="Arial"/>
          <w:b/>
          <w:color w:val="008AC9"/>
          <w:sz w:val="21"/>
        </w:rPr>
        <w:t xml:space="preserve">Strategic Context: </w:t>
      </w:r>
      <w:r>
        <w:rPr>
          <w:rFonts w:ascii="Arial" w:hAnsi="Arial"/>
          <w:b w:val="0"/>
          <w:sz w:val="21"/>
        </w:rPr>
        <w:t>North Korean cyber operations serve dual purposes: revenue generation to circumvent sanctions and acquisition of medical/pharmaceutical research for domestic programs. The regime has demonstrated sustained interest in COVID-19 vaccine research and oncology treatments.</w:t>
      </w:r>
    </w:p>
    <w:p>
      <w:pPr>
        <w:spacing w:before="0" w:after="60"/>
      </w:pPr>
    </w:p>
    <w:p>
      <w:r>
        <w:rPr>
          <w:rFonts w:ascii="Arial" w:hAnsi="Arial"/>
          <w:b/>
          <w:color w:val="008AC9"/>
          <w:sz w:val="21"/>
        </w:rPr>
        <w:t xml:space="preserve">Q2 Activity: </w:t>
      </w:r>
      <w:r>
        <w:rPr>
          <w:rFonts w:ascii="Arial" w:hAnsi="Arial"/>
          <w:b w:val="0"/>
          <w:sz w:val="21"/>
        </w:rPr>
        <w:t>Lazarus Group, Kimsuky, and VELVET CHOLLIMA conducted social engineering campaigns via LinkedIn and professional networking platforms throughout the quarter. Campaigns used fake recruiter personas targeting research scientists and engineers.</w:t>
      </w:r>
    </w:p>
    <w:p>
      <w:pPr>
        <w:spacing w:before="0" w:after="60"/>
      </w:pPr>
    </w:p>
    <w:p>
      <w:r>
        <w:rPr>
          <w:rFonts w:ascii="Arial" w:hAnsi="Arial"/>
          <w:b/>
          <w:color w:val="008AC9"/>
          <w:sz w:val="21"/>
        </w:rPr>
        <w:t xml:space="preserve">Business Implications: </w:t>
      </w:r>
      <w:r>
        <w:rPr>
          <w:rFonts w:ascii="Arial" w:hAnsi="Arial"/>
          <w:b w:val="0"/>
          <w:sz w:val="21"/>
        </w:rPr>
        <w:t>Credential compromise of research or executive personnel could provide access to sensitive environments, collaboration platforms, and IP repositories. Executive targeting also enables BEC fraud attempts.</w:t>
      </w:r>
    </w:p>
    <w:p>
      <w:pPr>
        <w:spacing w:before="0" w:after="240"/>
        <w:pBdr>
          <w:bottom w:val="single" w:sz="6" w:space="1" w:color="CCCCCC"/>
        </w:pBdr>
      </w:pPr>
    </w:p>
    <w:p>
      <w:pPr>
        <w:pStyle w:val="Heading1"/>
        <w:spacing w:before="240" w:after="120"/>
      </w:pPr>
      <w:r>
        <w:rPr>
          <w:rFonts w:ascii="Arial" w:hAnsi="Arial"/>
          <w:color w:val="E65100"/>
          <w:sz w:val="28"/>
        </w:rPr>
        <w:t>Looking Ahead: Q3 2026</w:t>
      </w:r>
    </w:p>
    <w:p>
      <w:r>
        <w:rPr>
          <w:rFonts w:ascii="Arial" w:hAnsi="Arial"/>
          <w:b/>
          <w:color w:val="008AC9"/>
          <w:sz w:val="21"/>
        </w:rPr>
        <w:t xml:space="preserve">Threat Outlook: </w:t>
      </w:r>
      <w:r>
        <w:rPr>
          <w:rFonts w:ascii="Arial" w:hAnsi="Arial"/>
          <w:b w:val="0"/>
          <w:sz w:val="21"/>
        </w:rPr>
        <w:t>We anticipate continued pressure from state-sponsored espionage campaigns as genomics research and precision manufacturing technology becomes increasingly valuable to national biotechnology strategies. Ransomware threat remains elevated with likely targeting of manufacturing operations.</w:t>
      </w:r>
    </w:p>
    <w:p>
      <w:pPr>
        <w:spacing w:before="0" w:after="60"/>
      </w:pPr>
    </w:p>
    <w:p>
      <w:r>
        <w:rPr>
          <w:rFonts w:ascii="Arial" w:hAnsi="Arial"/>
          <w:b/>
          <w:color w:val="008AC9"/>
          <w:sz w:val="21"/>
        </w:rPr>
        <w:t xml:space="preserve">Planned Initiatives: </w:t>
      </w:r>
      <w:r>
        <w:rPr>
          <w:rFonts w:ascii="Arial" w:hAnsi="Arial"/>
          <w:b w:val="0"/>
          <w:sz w:val="21"/>
        </w:rPr>
        <w:t>Integration of Microsoft Sentinel for unified security event correlation. Development of automated threat intelligence sharing with industry partners via H-ISAC. Expansion of executive protection monitoring.</w:t>
      </w:r>
    </w:p>
    <w:p>
      <w:pPr>
        <w:spacing w:before="0" w:after="60"/>
      </w:pPr>
    </w:p>
    <w:p>
      <w:r>
        <w:rPr>
          <w:rFonts w:ascii="Arial" w:hAnsi="Arial"/>
          <w:b/>
          <w:color w:val="008AC9"/>
          <w:sz w:val="21"/>
        </w:rPr>
        <w:t xml:space="preserve">Watch Items: </w:t>
      </w:r>
      <w:r>
        <w:rPr>
          <w:rFonts w:ascii="Arial" w:hAnsi="Arial"/>
          <w:b w:val="0"/>
          <w:sz w:val="21"/>
        </w:rPr>
        <w:t>Potential escalation in state-sponsored activity around major genomics conferences, product launches, and partnership announcements. Continued evolution of ransomware tactics, particularly double extortion and OT targeting.</w:t>
      </w:r>
    </w:p>
    <w:p>
      <w:pPr>
        <w:pStyle w:val="Heading1"/>
        <w:spacing w:before="240" w:after="120"/>
      </w:pPr>
      <w:r>
        <w:rPr>
          <w:rFonts w:ascii="Arial" w:hAnsi="Arial"/>
          <w:color w:val="E65100"/>
          <w:sz w:val="28"/>
        </w:rPr>
        <w:t>Recommendations for Leadership</w:t>
      </w:r>
    </w:p>
    <w:p>
      <w:pPr>
        <w:pStyle w:val="ListBullet"/>
        <w:spacing w:after="120"/>
      </w:pPr>
      <w:r>
        <w:rPr>
          <w:rFonts w:ascii="Arial" w:hAnsi="Arial"/>
          <w:b/>
          <w:color w:val="008AC9"/>
          <w:sz w:val="21"/>
        </w:rPr>
        <w:t xml:space="preserve">Executive Awareness: </w:t>
      </w:r>
      <w:r>
        <w:rPr>
          <w:rFonts w:ascii="Arial" w:hAnsi="Arial"/>
          <w:sz w:val="21"/>
        </w:rPr>
        <w:t>Consider targeted security awareness for executives and key research personnel given sustained social engineering campaigns via professional networks. CTI team can provide customized briefings.</w:t>
      </w:r>
    </w:p>
    <w:p>
      <w:pPr>
        <w:pStyle w:val="ListBullet"/>
        <w:spacing w:after="120"/>
      </w:pPr>
      <w:r>
        <w:rPr>
          <w:rFonts w:ascii="Arial" w:hAnsi="Arial"/>
          <w:b/>
          <w:color w:val="008AC9"/>
          <w:sz w:val="21"/>
        </w:rPr>
        <w:t xml:space="preserve">Vendor Risk Review: </w:t>
      </w:r>
      <w:r>
        <w:rPr>
          <w:rFonts w:ascii="Arial" w:hAnsi="Arial"/>
          <w:sz w:val="21"/>
        </w:rPr>
        <w:t>Evaluate security posture of critical software and laboratory equipment vendors given Q1 supply chain compromise activity. Prioritize vendors with privileged access to research and manufacturing systems.</w:t>
      </w:r>
    </w:p>
    <w:p>
      <w:pPr>
        <w:pStyle w:val="ListBullet"/>
        <w:spacing w:after="120"/>
      </w:pPr>
      <w:r>
        <w:rPr>
          <w:rFonts w:ascii="Arial" w:hAnsi="Arial"/>
          <w:b/>
          <w:color w:val="008AC9"/>
          <w:sz w:val="21"/>
        </w:rPr>
        <w:t xml:space="preserve">Manufacturing Environment Security: </w:t>
      </w:r>
      <w:r>
        <w:rPr>
          <w:rFonts w:ascii="Arial" w:hAnsi="Arial"/>
          <w:sz w:val="21"/>
        </w:rPr>
        <w:t>Review network segmentation between IT and OT/manufacturing systems. Ensure incident response plans address manufacturing disruption scenarios and production recovery.</w:t>
      </w:r>
    </w:p>
    <w:p>
      <w:pPr>
        <w:pStyle w:val="ListBullet"/>
        <w:spacing w:after="120"/>
      </w:pPr>
      <w:r>
        <w:rPr>
          <w:rFonts w:ascii="Arial" w:hAnsi="Arial"/>
          <w:b/>
          <w:color w:val="008AC9"/>
          <w:sz w:val="21"/>
        </w:rPr>
        <w:t xml:space="preserve">Incident Response Readiness: </w:t>
      </w:r>
      <w:r>
        <w:rPr>
          <w:rFonts w:ascii="Arial" w:hAnsi="Arial"/>
          <w:sz w:val="21"/>
        </w:rPr>
        <w:t>Confirm ransomware response plans address SEC disclosure timelines (4-day materiality determination), FDA notification requirements, and manufacturing continuity scenarios.</w:t>
      </w:r>
    </w:p>
    <w:p>
      <w:pPr>
        <w:pStyle w:val="ListBullet"/>
        <w:spacing w:after="120"/>
      </w:pPr>
      <w:r>
        <w:rPr>
          <w:rFonts w:ascii="Arial" w:hAnsi="Arial"/>
          <w:b/>
          <w:color w:val="008AC9"/>
          <w:sz w:val="21"/>
        </w:rPr>
        <w:t xml:space="preserve">Board Reporting: </w:t>
      </w:r>
      <w:r>
        <w:rPr>
          <w:rFonts w:ascii="Arial" w:hAnsi="Arial"/>
          <w:sz w:val="21"/>
        </w:rPr>
        <w:t>Q1 peer incidents and regulatory enforcement may prompt board inquiries regarding security posture. CTI team available to support preparation of sector threat context and benchmarking.</w:t>
      </w:r>
    </w:p>
    <w:p/>
    <w:p>
      <w:pPr>
        <w:pStyle w:val="Heading1"/>
      </w:pPr>
      <w:r>
        <w:rPr>
          <w:rFonts w:ascii="Arial" w:hAnsi="Arial"/>
          <w:color w:val="E65100"/>
          <w:sz w:val="28"/>
        </w:rPr>
        <w:t>Sources</w:t>
      </w:r>
    </w:p>
    <w:p>
      <w:pPr>
        <w:pStyle w:val="ListBullet"/>
      </w:pPr>
      <w:r>
        <w:rPr>
          <w:rFonts w:ascii="Arial" w:hAnsi="Arial"/>
          <w:b/>
          <w:sz w:val="20"/>
        </w:rPr>
        <w:t>CrowdStrike Falcon Intelligence</w:t>
      </w:r>
      <w:r>
        <w:rPr>
          <w:rFonts w:ascii="Arial" w:hAnsi="Arial"/>
          <w:color w:val="666666"/>
          <w:sz w:val="20"/>
        </w:rPr>
        <w:t xml:space="preserve"> — Threat actor profiles, APT campaigns, and adversary tracking</w:t>
      </w:r>
    </w:p>
    <w:p>
      <w:pPr>
        <w:pStyle w:val="ListBullet"/>
      </w:pPr>
      <w:r>
        <w:rPr>
          <w:rFonts w:ascii="Arial" w:hAnsi="Arial"/>
          <w:b/>
          <w:sz w:val="20"/>
        </w:rPr>
        <w:t>Intel471 Titan</w:t>
      </w:r>
      <w:r>
        <w:rPr>
          <w:rFonts w:ascii="Arial" w:hAnsi="Arial"/>
          <w:color w:val="666666"/>
          <w:sz w:val="20"/>
        </w:rPr>
        <w:t xml:space="preserve"> — Underground threat intelligence, breach reporting, and actor monitoring</w:t>
      </w:r>
    </w:p>
    <w:p>
      <w:pPr>
        <w:pStyle w:val="ListBullet"/>
      </w:pPr>
      <w:r>
        <w:rPr>
          <w:rFonts w:ascii="Arial" w:hAnsi="Arial"/>
          <w:b/>
          <w:sz w:val="20"/>
        </w:rPr>
        <w:t>NIST National Vulnerability Database (NVD)</w:t>
      </w:r>
      <w:r>
        <w:rPr>
          <w:rFonts w:ascii="Arial" w:hAnsi="Arial"/>
          <w:color w:val="666666"/>
          <w:sz w:val="20"/>
        </w:rPr>
        <w:t xml:space="preserve">  https://nvd.nist.gov/</w:t>
      </w:r>
    </w:p>
    <w:p>
      <w:pPr>
        <w:pStyle w:val="ListBullet"/>
      </w:pPr>
      <w:r>
        <w:rPr>
          <w:rFonts w:ascii="Arial" w:hAnsi="Arial"/>
          <w:b/>
          <w:sz w:val="20"/>
        </w:rPr>
        <w:t>CISA Known Exploited Vulnerabilities (KEV) Catalog</w:t>
      </w:r>
      <w:r>
        <w:rPr>
          <w:rFonts w:ascii="Arial" w:hAnsi="Arial"/>
          <w:color w:val="666666"/>
          <w:sz w:val="20"/>
        </w:rPr>
        <w:t xml:space="preserve">  https://www.cisa.gov/known-exploited-vulnerabilities-catalog</w:t>
      </w:r>
    </w:p>
    <w:p>
      <w:pPr>
        <w:pStyle w:val="ListBullet"/>
      </w:pPr>
      <w:r>
        <w:rPr>
          <w:rFonts w:ascii="Arial" w:hAnsi="Arial"/>
          <w:b/>
          <w:sz w:val="20"/>
        </w:rPr>
        <w:t>HHS Breach Portal</w:t>
      </w:r>
      <w:r>
        <w:rPr>
          <w:rFonts w:ascii="Arial" w:hAnsi="Arial"/>
          <w:color w:val="666666"/>
          <w:sz w:val="20"/>
        </w:rPr>
        <w:t xml:space="preserve">  https://ocrportal.hhs.gov/ocr/breach/breach_report.jsf</w:t>
      </w:r>
    </w:p>
    <w:p>
      <w:pPr>
        <w:pStyle w:val="ListBullet"/>
      </w:pPr>
      <w:r>
        <w:rPr>
          <w:rFonts w:ascii="Arial" w:hAnsi="Arial"/>
          <w:b/>
          <w:sz w:val="20"/>
        </w:rPr>
        <w:t>FBI Internet Crime Complaint Center (IC3)</w:t>
      </w:r>
      <w:r>
        <w:rPr>
          <w:rFonts w:ascii="Arial" w:hAnsi="Arial"/>
          <w:color w:val="666666"/>
          <w:sz w:val="20"/>
        </w:rPr>
        <w:t xml:space="preserve">  https://www.ic3.gov/</w:t>
      </w:r>
    </w:p>
    <w:p>
      <w:pPr>
        <w:pStyle w:val="ListBullet"/>
      </w:pPr>
      <w:r>
        <w:rPr>
          <w:rFonts w:ascii="Arial" w:hAnsi="Arial"/>
          <w:b/>
          <w:sz w:val="20"/>
        </w:rPr>
        <w:t>SEC EDGAR Filings</w:t>
      </w:r>
      <w:r>
        <w:rPr>
          <w:rFonts w:ascii="Arial" w:hAnsi="Arial"/>
          <w:color w:val="666666"/>
          <w:sz w:val="20"/>
        </w:rPr>
        <w:t xml:space="preserve">  https://www.sec.gov/cgi-bin/browse-edgar</w:t>
      </w:r>
    </w:p>
    <w:p>
      <w:pPr>
        <w:pStyle w:val="ListBullet"/>
      </w:pPr>
      <w:r>
        <w:rPr>
          <w:rFonts w:ascii="Arial" w:hAnsi="Arial"/>
          <w:b/>
          <w:sz w:val="20"/>
        </w:rPr>
        <w:t>MITRE ATT&amp;CK</w:t>
      </w:r>
      <w:r>
        <w:rPr>
          <w:rFonts w:ascii="Arial" w:hAnsi="Arial"/>
          <w:color w:val="666666"/>
          <w:sz w:val="20"/>
        </w:rPr>
        <w:t xml:space="preserve">  https://attack.mitre.org/</w:t>
      </w:r>
    </w:p>
    <w:p>
      <w:pPr>
        <w:pStyle w:val="ListBullet"/>
      </w:pPr>
      <w:r>
        <w:rPr>
          <w:rFonts w:ascii="Arial" w:hAnsi="Arial"/>
          <w:b/>
          <w:sz w:val="20"/>
        </w:rPr>
        <w:t>Open Source Intelligence (OSINT)</w:t>
      </w:r>
      <w:r>
        <w:rPr>
          <w:rFonts w:ascii="Arial" w:hAnsi="Arial"/>
          <w:color w:val="666666"/>
          <w:sz w:val="20"/>
        </w:rPr>
        <w:t xml:space="preserve"> — Industry publications, state AG notifications, and vendor advisories</w:t>
      </w:r>
    </w:p>
    <w:p/>
    <w:p>
      <w:pPr>
        <w:jc w:val="left"/>
      </w:pPr>
      <w:r>
        <w:rPr>
          <w:rFonts w:ascii="Arial" w:hAnsi="Arial"/>
          <w:b/>
          <w:color w:val="555555"/>
          <w:sz w:val="20"/>
          <w:u w:val="none"/>
        </w:rPr>
        <w:t>Prepared by: Cyber Threat Intelligence | cti@illumina.com</w:t>
      </w:r>
    </w:p>
    <w:p/>
    <w:sectPr w:rsidR="00FC693F" w:rsidRPr="0006063C" w:rsidSect="00034616">
      <w:pgPr>
        <w:vAlign w:val="top"/>
      </w:pgPr>
      <w:headerReference w:type="default" r:id="rId9"/>
      <w:footerReference w:type="default" r:id="rId10"/>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6"/>
      </w:rPr>
      <w:t xml:space="preserve">TLP: </w:t>
    </w:r>
    <w:r>
      <w:rPr>
        <w:rFonts w:ascii="Arial" w:hAnsi="Arial"/>
        <w:i/>
        <w:color w:val="E65100"/>
        <w:sz w:val="16"/>
      </w:rPr>
      <w:t>AMBER+</w:t>
    </w:r>
    <w:r>
      <w:rPr>
        <w:rFonts w:ascii="Arial" w:hAnsi="Arial"/>
        <w:i/>
        <w:color w:val="E65100"/>
        <w:sz w:val="16"/>
        <w:u w:val="none"/>
      </w:rPr>
      <w:t>STRICT</w:t>
    </w:r>
    <w:r>
      <w:rPr>
        <w:rFonts w:ascii="Arial" w:hAnsi="Arial"/>
        <w:i/>
        <w:color w:val="999999"/>
        <w:sz w:val="16"/>
      </w:rPr>
      <w:t xml:space="preserve"> | </w:t>
    </w:r>
    <w:r>
      <w:rPr>
        <w:rFonts w:ascii="Arial" w:hAnsi="Arial"/>
        <w:i/>
        <w:color w:val="999999"/>
        <w:sz w:val="16"/>
      </w:rPr>
      <w:t>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