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rFonts w:ascii="Arial" w:cs="Arial" w:eastAsia="Arial" w:hAnsi="Arial"/>
          <w:color w:val="666666"/>
          <w:sz w:val="18"/>
          <w:szCs w:val="18"/>
        </w:rPr>
        <w:t xml:space="preserve">CTI-QTR-2026-Q1</w:t>
      </w:r>
    </w:p>
    <w:p>
      <w:pPr>
        <w:spacing w:after="40"/>
      </w:pPr>
      <w:r>
        <w:rPr>
          <w:rFonts w:ascii="Arial" w:cs="Arial" w:eastAsia="Arial" w:hAnsi="Arial"/>
          <w:b/>
          <w:bCs/>
          <w:color w:val="E65100"/>
          <w:sz w:val="36"/>
          <w:szCs w:val="36"/>
        </w:rPr>
        <w:t xml:space="preserve">Cyber Threat Intelligence</w:t>
      </w:r>
    </w:p>
    <w:p>
      <w:pPr>
        <w:spacing w:after="60"/>
      </w:pPr>
      <w:r>
        <w:rPr>
          <w:rFonts w:ascii="Arial" w:cs="Arial" w:eastAsia="Arial" w:hAnsi="Arial"/>
          <w:color w:val="333333"/>
          <w:sz w:val="32"/>
          <w:szCs w:val="32"/>
        </w:rPr>
        <w:t xml:space="preserve">Quarterly Strategic Brief</w:t>
      </w:r>
    </w:p>
    <w:p>
      <w:pPr>
        <w:spacing w:after="300"/>
      </w:pPr>
      <w:r>
        <w:rPr>
          <w:rFonts w:ascii="Arial" w:cs="Arial" w:eastAsia="Arial" w:hAnsi="Arial"/>
          <w:color w:val="666666"/>
          <w:sz w:val="22"/>
          <w:szCs w:val="22"/>
        </w:rPr>
        <w:t xml:space="preserve">Q1 2026 (January to March)</w:t>
      </w:r>
    </w:p>
    <w:p>
      <w:pPr>
        <w:pStyle w:val="Heading1"/>
      </w:pPr>
      <w:r>
        <w:t xml:space="preserve">Executive Summary</w:t>
      </w:r>
    </w:p>
    <w:p>
      <w:pPr>
        <w:spacing w:after="160"/>
      </w:pPr>
      <w:r>
        <w:rPr>
          <w:rFonts w:ascii="Arial" w:cs="Arial" w:eastAsia="Arial" w:hAnsi="Arial"/>
          <w:sz w:val="21"/>
          <w:szCs w:val="21"/>
        </w:rPr>
        <w:t xml:space="preserve">The threat landscape for the genomics, life sciences, and precision manufacturing sectors remained elevated throughout Q1 2026, with 47 publicly disclosed breaches affecting peer organizations in the biotech, pharmaceutical, healthcare, and advanced manufacturing sectors. State-sponsored intellectual property theft campaigns from China continued at sustained levels, with specific interest in sequencing technology and biomanufacturing processes. Ransomware incidents targeting healthcare-adjacent and manufacturing organizations increased 31% compared to Q4 2025.</w:t>
      </w:r>
    </w:p>
    <w:p>
      <w:pPr>
        <w:spacing w:after="200"/>
      </w:pPr>
      <w:r>
        <w:rPr>
          <w:rFonts w:ascii="Arial" w:cs="Arial" w:eastAsia="Arial" w:hAnsi="Arial"/>
          <w:sz w:val="21"/>
          <w:szCs w:val="21"/>
        </w:rPr>
        <w:t xml:space="preserve">No direct threats to Illumina were identified this quarter; however, the threat actors, techniques, and vulnerabilities observed are consistent with those historically used against genomics companies. Key concerns include supply chain compromise via software vendors, targeted credential theft against research personnel, and regulatory scrutiny following high-profile breaches at peer organizations.</w:t>
      </w:r>
    </w:p>
    <w:p>
      <w:pPr>
        <w:pStyle w:val="Heading1"/>
      </w:pPr>
      <w:r>
        <w:t xml:space="preserve">Quarterly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spacing w:after="60"/>
              <w:jc w:val="center"/>
            </w:pPr>
            <w:r>
              <w:rPr>
                <w:rFonts w:ascii="Arial" w:cs="Arial" w:eastAsia="Arial" w:hAnsi="Arial"/>
                <w:b/>
                <w:bCs/>
                <w:color w:val="333333"/>
                <w:sz w:val="18"/>
                <w:szCs w:val="18"/>
              </w:rPr>
              <w:t xml:space="preserve">Nation-State
Espionage</w:t>
            </w:r>
          </w:p>
          <w:p>
            <w:pPr>
              <w:spacing w:after="40"/>
              <w:jc w:val="center"/>
            </w:pPr>
            <w:r>
              <w:rPr>
                <w:rFonts w:ascii="Arial" w:cs="Arial" w:eastAsia="Arial" w:hAnsi="Arial"/>
                <w:b/>
                <w:bCs/>
                <w:color w:val="D32F2F"/>
                <w:sz w:val="28"/>
                <w:szCs w:val="28"/>
              </w:rPr>
              <w:t xml:space="preserve">HIGH</w:t>
            </w:r>
          </w:p>
          <w:p>
            <w:pPr>
              <w:jc w:val="center"/>
            </w:pPr>
            <w:r>
              <w:rPr>
                <w:rFonts w:ascii="Arial" w:cs="Arial" w:eastAsia="Arial" w:hAnsi="Arial"/>
                <w:color w:val="666666"/>
                <w:sz w:val="15"/>
                <w:szCs w:val="15"/>
              </w:rPr>
              <w:t xml:space="preserve">vs Q4: Unchanged</w:t>
            </w:r>
          </w:p>
        </w:tc>
        <w:tc>
          <w:tcPr>
            <w:tcW w:type="dxa" w:w="252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spacing w:after="60"/>
              <w:jc w:val="center"/>
            </w:pPr>
            <w:r>
              <w:rPr>
                <w:rFonts w:ascii="Arial" w:cs="Arial" w:eastAsia="Arial" w:hAnsi="Arial"/>
                <w:b/>
                <w:bCs/>
                <w:color w:val="333333"/>
                <w:sz w:val="18"/>
                <w:szCs w:val="18"/>
              </w:rPr>
              <w:t xml:space="preserve">Ransomware &amp;
Extortion</w:t>
            </w:r>
          </w:p>
          <w:p>
            <w:pPr>
              <w:spacing w:after="40"/>
              <w:jc w:val="center"/>
            </w:pPr>
            <w:r>
              <w:rPr>
                <w:rFonts w:ascii="Arial" w:cs="Arial" w:eastAsia="Arial" w:hAnsi="Arial"/>
                <w:b/>
                <w:bCs/>
                <w:color w:val="D32F2F"/>
                <w:sz w:val="28"/>
                <w:szCs w:val="28"/>
              </w:rPr>
              <w:t xml:space="preserve">HIGH</w:t>
            </w:r>
          </w:p>
          <w:p>
            <w:pPr>
              <w:jc w:val="center"/>
            </w:pPr>
            <w:r>
              <w:rPr>
                <w:rFonts w:ascii="Arial" w:cs="Arial" w:eastAsia="Arial" w:hAnsi="Arial"/>
                <w:color w:val="D32F2F"/>
                <w:sz w:val="15"/>
                <w:szCs w:val="15"/>
              </w:rPr>
              <w:t xml:space="preserve">vs Q4: +31%</w:t>
            </w:r>
          </w:p>
        </w:tc>
        <w:tc>
          <w:tcPr>
            <w:tcW w:type="dxa" w:w="252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spacing w:after="60"/>
              <w:jc w:val="center"/>
            </w:pPr>
            <w:r>
              <w:rPr>
                <w:rFonts w:ascii="Arial" w:cs="Arial" w:eastAsia="Arial" w:hAnsi="Arial"/>
                <w:b/>
                <w:bCs/>
                <w:color w:val="333333"/>
                <w:sz w:val="18"/>
                <w:szCs w:val="18"/>
              </w:rPr>
              <w:t xml:space="preserve">Supply Chain
Compromise</w:t>
            </w:r>
          </w:p>
          <w:p>
            <w:pPr>
              <w:spacing w:after="40"/>
              <w:jc w:val="center"/>
            </w:pPr>
            <w:r>
              <w:rPr>
                <w:rFonts w:ascii="Arial" w:cs="Arial" w:eastAsia="Arial" w:hAnsi="Arial"/>
                <w:b/>
                <w:bCs/>
                <w:color w:val="F57C00"/>
                <w:sz w:val="28"/>
                <w:szCs w:val="28"/>
              </w:rPr>
              <w:t xml:space="preserve">MEDIUM</w:t>
            </w:r>
          </w:p>
          <w:p>
            <w:pPr>
              <w:jc w:val="center"/>
            </w:pPr>
            <w:r>
              <w:rPr>
                <w:rFonts w:ascii="Arial" w:cs="Arial" w:eastAsia="Arial" w:hAnsi="Arial"/>
                <w:color w:val="F57C00"/>
                <w:sz w:val="15"/>
                <w:szCs w:val="15"/>
              </w:rPr>
              <w:t xml:space="preserve">vs Q4: +18%</w:t>
            </w:r>
          </w:p>
        </w:tc>
        <w:tc>
          <w:tcPr>
            <w:tcW w:type="dxa" w:w="2520"/>
            <w:tcBorders>
              <w:top w:val="single" w:color="CCCCCC" w:sz="1"/>
              <w:left w:val="single" w:color="CCCCCC" w:sz="1"/>
              <w:bottom w:val="single" w:color="CCCCCC" w:sz="1"/>
              <w:right w:val="single" w:color="CCCCCC" w:sz="1"/>
            </w:tcBorders>
            <w:shd w:fill="F5F5F5" w:val="clear"/>
            <w:tcMar>
              <w:top w:type="dxa" w:w="120"/>
              <w:left w:type="dxa" w:w="100"/>
              <w:bottom w:type="dxa" w:w="120"/>
              <w:right w:type="dxa" w:w="100"/>
            </w:tcMar>
          </w:tcPr>
          <w:p>
            <w:pPr>
              <w:spacing w:after="60"/>
              <w:jc w:val="center"/>
            </w:pPr>
            <w:r>
              <w:rPr>
                <w:rFonts w:ascii="Arial" w:cs="Arial" w:eastAsia="Arial" w:hAnsi="Arial"/>
                <w:b/>
                <w:bCs/>
                <w:color w:val="333333"/>
                <w:sz w:val="18"/>
                <w:szCs w:val="18"/>
              </w:rPr>
              <w:t xml:space="preserve">Insider Threat</w:t>
            </w:r>
          </w:p>
          <w:p>
            <w:pPr>
              <w:spacing w:after="40"/>
              <w:jc w:val="center"/>
            </w:pPr>
            <w:r>
              <w:rPr>
                <w:rFonts w:ascii="Arial" w:cs="Arial" w:eastAsia="Arial" w:hAnsi="Arial"/>
                <w:b/>
                <w:bCs/>
                <w:color w:val="388E3C"/>
                <w:sz w:val="28"/>
                <w:szCs w:val="28"/>
              </w:rPr>
              <w:t xml:space="preserve">LOW</w:t>
            </w:r>
          </w:p>
          <w:p>
            <w:pPr>
              <w:jc w:val="center"/>
            </w:pPr>
            <w:r>
              <w:rPr>
                <w:rFonts w:ascii="Arial" w:cs="Arial" w:eastAsia="Arial" w:hAnsi="Arial"/>
                <w:color w:val="666666"/>
                <w:sz w:val="15"/>
                <w:szCs w:val="15"/>
              </w:rPr>
              <w:t xml:space="preserve">vs Q4: Unchanged</w:t>
            </w:r>
          </w:p>
        </w:tc>
      </w:tr>
    </w:tbl>
    <w:p>
      <w:pPr>
        <w:pStyle w:val="Heading1"/>
      </w:pPr>
      <w:r>
        <w:t xml:space="preserve">Industry Breach Landscape</w:t>
      </w:r>
    </w:p>
    <w:p>
      <w:pPr>
        <w:spacing w:after="160"/>
      </w:pPr>
      <w:r>
        <w:rPr>
          <w:rFonts w:ascii="Arial" w:cs="Arial" w:eastAsia="Arial" w:hAnsi="Arial"/>
          <w:i/>
          <w:iCs/>
          <w:color w:val="666666"/>
          <w:sz w:val="18"/>
          <w:szCs w:val="18"/>
        </w:rPr>
        <w:t xml:space="preserve">Publicly disclosed security incidents affecting life sciences, pharmaceutical, biotechnology, healthcare, and advanced manufacturing organizations during Q1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CCCCCC" w:sz="1"/>
              <w:left w:val="single" w:color="CCCCCC" w:sz="1"/>
              <w:bottom w:val="single" w:color="CCCCCC" w:sz="1"/>
              <w:right w:val="single" w:color="CCCCCC" w:sz="1"/>
            </w:tcBorders>
            <w:shd w:fill="FFF8E1" w:val="clear"/>
            <w:tcMar>
              <w:top w:type="dxa" w:w="100"/>
              <w:left w:type="dxa" w:w="80"/>
              <w:bottom w:type="dxa" w:w="100"/>
              <w:right w:type="dxa" w:w="80"/>
            </w:tcMar>
          </w:tcPr>
          <w:p>
            <w:pPr>
              <w:jc w:val="center"/>
            </w:pPr>
            <w:r>
              <w:rPr>
                <w:rFonts w:ascii="Arial" w:cs="Arial" w:eastAsia="Arial" w:hAnsi="Arial"/>
                <w:b/>
                <w:bCs/>
                <w:color w:val="333333"/>
                <w:sz w:val="36"/>
                <w:szCs w:val="36"/>
              </w:rPr>
              <w:t xml:space="preserve">47</w:t>
            </w:r>
          </w:p>
          <w:p>
            <w:pPr>
              <w:spacing w:after="40"/>
              <w:jc w:val="center"/>
            </w:pPr>
            <w:r>
              <w:rPr>
                <w:rFonts w:ascii="Arial" w:cs="Arial" w:eastAsia="Arial" w:hAnsi="Arial"/>
                <w:b/>
                <w:bCs/>
                <w:color w:val="333333"/>
                <w:sz w:val="17"/>
                <w:szCs w:val="17"/>
              </w:rPr>
              <w:t xml:space="preserve">Total Incidents</w:t>
            </w:r>
          </w:p>
          <w:p>
            <w:pPr>
              <w:jc w:val="center"/>
            </w:pPr>
            <w:r>
              <w:rPr>
                <w:rFonts w:ascii="Arial" w:cs="Arial" w:eastAsia="Arial" w:hAnsi="Arial"/>
                <w:color w:val="666666"/>
                <w:sz w:val="14"/>
                <w:szCs w:val="14"/>
              </w:rPr>
              <w:t xml:space="preserve">Q4 2025: 36 </w:t>
            </w:r>
            <w:r>
              <w:rPr>
                <w:rFonts w:ascii="Arial" w:cs="Arial" w:eastAsia="Arial" w:hAnsi="Arial"/>
                <w:b/>
                <w:bCs/>
                <w:color w:val="D32F2F"/>
                <w:sz w:val="14"/>
                <w:szCs w:val="14"/>
              </w:rPr>
              <w:t xml:space="preserve">+31%</w:t>
            </w:r>
          </w:p>
        </w:tc>
        <w:tc>
          <w:tcPr>
            <w:tcW w:type="dxa" w:w="2520"/>
            <w:tcBorders>
              <w:top w:val="single" w:color="CCCCCC" w:sz="1"/>
              <w:left w:val="single" w:color="CCCCCC" w:sz="1"/>
              <w:bottom w:val="single" w:color="CCCCCC" w:sz="1"/>
              <w:right w:val="single" w:color="CCCCCC" w:sz="1"/>
            </w:tcBorders>
            <w:shd w:fill="FFF8E1" w:val="clear"/>
            <w:tcMar>
              <w:top w:type="dxa" w:w="100"/>
              <w:left w:type="dxa" w:w="80"/>
              <w:bottom w:type="dxa" w:w="100"/>
              <w:right w:type="dxa" w:w="80"/>
            </w:tcMar>
          </w:tcPr>
          <w:p>
            <w:pPr>
              <w:jc w:val="center"/>
            </w:pPr>
            <w:r>
              <w:rPr>
                <w:rFonts w:ascii="Arial" w:cs="Arial" w:eastAsia="Arial" w:hAnsi="Arial"/>
                <w:b/>
                <w:bCs/>
                <w:color w:val="333333"/>
                <w:sz w:val="36"/>
                <w:szCs w:val="36"/>
              </w:rPr>
              <w:t xml:space="preserve">$127M</w:t>
            </w:r>
          </w:p>
          <w:p>
            <w:pPr>
              <w:spacing w:after="40"/>
              <w:jc w:val="center"/>
            </w:pPr>
            <w:r>
              <w:rPr>
                <w:rFonts w:ascii="Arial" w:cs="Arial" w:eastAsia="Arial" w:hAnsi="Arial"/>
                <w:b/>
                <w:bCs/>
                <w:color w:val="333333"/>
                <w:sz w:val="17"/>
                <w:szCs w:val="17"/>
              </w:rPr>
              <w:t xml:space="preserve">Est. Total Impact</w:t>
            </w:r>
          </w:p>
          <w:p>
            <w:pPr>
              <w:jc w:val="center"/>
            </w:pPr>
            <w:r>
              <w:rPr>
                <w:rFonts w:ascii="Arial" w:cs="Arial" w:eastAsia="Arial" w:hAnsi="Arial"/>
                <w:color w:val="666666"/>
                <w:sz w:val="14"/>
                <w:szCs w:val="14"/>
              </w:rPr>
              <w:t xml:space="preserve">Q4 2025: $94M </w:t>
            </w:r>
            <w:r>
              <w:rPr>
                <w:rFonts w:ascii="Arial" w:cs="Arial" w:eastAsia="Arial" w:hAnsi="Arial"/>
                <w:b/>
                <w:bCs/>
                <w:color w:val="D32F2F"/>
                <w:sz w:val="14"/>
                <w:szCs w:val="14"/>
              </w:rPr>
              <w:t xml:space="preserve">+35%</w:t>
            </w:r>
          </w:p>
        </w:tc>
        <w:tc>
          <w:tcPr>
            <w:tcW w:type="dxa" w:w="2520"/>
            <w:tcBorders>
              <w:top w:val="single" w:color="CCCCCC" w:sz="1"/>
              <w:left w:val="single" w:color="CCCCCC" w:sz="1"/>
              <w:bottom w:val="single" w:color="CCCCCC" w:sz="1"/>
              <w:right w:val="single" w:color="CCCCCC" w:sz="1"/>
            </w:tcBorders>
            <w:shd w:fill="FFF8E1" w:val="clear"/>
            <w:tcMar>
              <w:top w:type="dxa" w:w="100"/>
              <w:left w:type="dxa" w:w="80"/>
              <w:bottom w:type="dxa" w:w="100"/>
              <w:right w:type="dxa" w:w="80"/>
            </w:tcMar>
          </w:tcPr>
          <w:p>
            <w:pPr>
              <w:jc w:val="center"/>
            </w:pPr>
            <w:r>
              <w:rPr>
                <w:rFonts w:ascii="Arial" w:cs="Arial" w:eastAsia="Arial" w:hAnsi="Arial"/>
                <w:b/>
                <w:bCs/>
                <w:color w:val="333333"/>
                <w:sz w:val="36"/>
                <w:szCs w:val="36"/>
              </w:rPr>
              <w:t xml:space="preserve">18</w:t>
            </w:r>
          </w:p>
          <w:p>
            <w:pPr>
              <w:spacing w:after="40"/>
              <w:jc w:val="center"/>
            </w:pPr>
            <w:r>
              <w:rPr>
                <w:rFonts w:ascii="Arial" w:cs="Arial" w:eastAsia="Arial" w:hAnsi="Arial"/>
                <w:b/>
                <w:bCs/>
                <w:color w:val="333333"/>
                <w:sz w:val="17"/>
                <w:szCs w:val="17"/>
              </w:rPr>
              <w:t xml:space="preserve">Ransomware</w:t>
            </w:r>
          </w:p>
          <w:p>
            <w:pPr>
              <w:jc w:val="center"/>
            </w:pPr>
            <w:r>
              <w:rPr>
                <w:rFonts w:ascii="Arial" w:cs="Arial" w:eastAsia="Arial" w:hAnsi="Arial"/>
                <w:color w:val="666666"/>
                <w:sz w:val="14"/>
                <w:szCs w:val="14"/>
              </w:rPr>
              <w:t xml:space="preserve">Q4 2025: 12 </w:t>
            </w:r>
            <w:r>
              <w:rPr>
                <w:rFonts w:ascii="Arial" w:cs="Arial" w:eastAsia="Arial" w:hAnsi="Arial"/>
                <w:b/>
                <w:bCs/>
                <w:color w:val="D32F2F"/>
                <w:sz w:val="14"/>
                <w:szCs w:val="14"/>
              </w:rPr>
              <w:t xml:space="preserve">+50%</w:t>
            </w:r>
          </w:p>
        </w:tc>
        <w:tc>
          <w:tcPr>
            <w:tcW w:type="dxa" w:w="2520"/>
            <w:tcBorders>
              <w:top w:val="single" w:color="CCCCCC" w:sz="1"/>
              <w:left w:val="single" w:color="CCCCCC" w:sz="1"/>
              <w:bottom w:val="single" w:color="CCCCCC" w:sz="1"/>
              <w:right w:val="single" w:color="CCCCCC" w:sz="1"/>
            </w:tcBorders>
            <w:shd w:fill="FFF8E1" w:val="clear"/>
            <w:tcMar>
              <w:top w:type="dxa" w:w="100"/>
              <w:left w:type="dxa" w:w="80"/>
              <w:bottom w:type="dxa" w:w="100"/>
              <w:right w:type="dxa" w:w="80"/>
            </w:tcMar>
          </w:tcPr>
          <w:p>
            <w:pPr>
              <w:jc w:val="center"/>
            </w:pPr>
            <w:r>
              <w:rPr>
                <w:rFonts w:ascii="Arial" w:cs="Arial" w:eastAsia="Arial" w:hAnsi="Arial"/>
                <w:b/>
                <w:bCs/>
                <w:color w:val="333333"/>
                <w:sz w:val="36"/>
                <w:szCs w:val="36"/>
              </w:rPr>
              <w:t xml:space="preserve">4.2M</w:t>
            </w:r>
          </w:p>
          <w:p>
            <w:pPr>
              <w:spacing w:after="40"/>
              <w:jc w:val="center"/>
            </w:pPr>
            <w:r>
              <w:rPr>
                <w:rFonts w:ascii="Arial" w:cs="Arial" w:eastAsia="Arial" w:hAnsi="Arial"/>
                <w:b/>
                <w:bCs/>
                <w:color w:val="333333"/>
                <w:sz w:val="17"/>
                <w:szCs w:val="17"/>
              </w:rPr>
              <w:t xml:space="preserve">Records Exposed</w:t>
            </w:r>
          </w:p>
          <w:p>
            <w:pPr>
              <w:jc w:val="center"/>
            </w:pPr>
            <w:r>
              <w:rPr>
                <w:rFonts w:ascii="Arial" w:cs="Arial" w:eastAsia="Arial" w:hAnsi="Arial"/>
                <w:color w:val="666666"/>
                <w:sz w:val="14"/>
                <w:szCs w:val="14"/>
              </w:rPr>
              <w:t xml:space="preserve">Q4 2025: 2.8M </w:t>
            </w:r>
            <w:r>
              <w:rPr>
                <w:rFonts w:ascii="Arial" w:cs="Arial" w:eastAsia="Arial" w:hAnsi="Arial"/>
                <w:b/>
                <w:bCs/>
                <w:color w:val="F57C00"/>
                <w:sz w:val="14"/>
                <w:szCs w:val="14"/>
              </w:rPr>
              <w:t xml:space="preserve">+50%</w:t>
            </w:r>
          </w:p>
        </w:tc>
      </w:tr>
    </w:tbl>
    <w:p>
      <w:pPr>
        <w:spacing w:before="200"/>
      </w:pPr>
    </w:p>
    <w:p>
      <w:pPr>
        <w:pStyle w:val="Heading2"/>
      </w:pPr>
      <w:r>
        <w:t xml:space="preserve">Incidents by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4080"/>
      </w:tblGrid>
      <w:tr>
        <w:tc>
          <w:tcPr>
            <w:tcW w:type="dxa" w:w="3000"/>
            <w:tcBorders>
              <w:top w:val="single" w:color="CCCCCC" w:sz="1"/>
              <w:left w:val="single" w:color="CCCCCC" w:sz="1"/>
              <w:bottom w:val="single" w:color="CCCCCC" w:sz="1"/>
              <w:right w:val="single" w:color="CCCCCC" w:sz="1"/>
            </w:tcBorders>
            <w:shd w:fill="E651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Incident Type</w:t>
            </w:r>
          </w:p>
        </w:tc>
        <w:tc>
          <w:tcPr>
            <w:tcW w:type="dxa" w:w="1500"/>
            <w:tcBorders>
              <w:top w:val="single" w:color="CCCCCC" w:sz="1"/>
              <w:left w:val="single" w:color="CCCCCC" w:sz="1"/>
              <w:bottom w:val="single" w:color="CCCCCC" w:sz="1"/>
              <w:right w:val="single" w:color="CCCCCC" w:sz="1"/>
            </w:tcBorders>
            <w:shd w:fill="E651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Q1 2026</w:t>
            </w:r>
          </w:p>
        </w:tc>
        <w:tc>
          <w:tcPr>
            <w:tcW w:type="dxa" w:w="1500"/>
            <w:tcBorders>
              <w:top w:val="single" w:color="CCCCCC" w:sz="1"/>
              <w:left w:val="single" w:color="CCCCCC" w:sz="1"/>
              <w:bottom w:val="single" w:color="CCCCCC" w:sz="1"/>
              <w:right w:val="single" w:color="CCCCCC" w:sz="1"/>
            </w:tcBorders>
            <w:shd w:fill="E651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Q4 2025</w:t>
            </w:r>
          </w:p>
        </w:tc>
        <w:tc>
          <w:tcPr>
            <w:tcW w:type="dxa" w:w="4080"/>
            <w:tcBorders>
              <w:top w:val="single" w:color="CCCCCC" w:sz="1"/>
              <w:left w:val="single" w:color="CCCCCC" w:sz="1"/>
              <w:bottom w:val="single" w:color="CCCCCC" w:sz="1"/>
              <w:right w:val="single" w:color="CCCCCC" w:sz="1"/>
            </w:tcBorders>
            <w:shd w:fill="E65100" w:val="clear"/>
            <w:tcMar>
              <w:top w:type="dxa" w:w="60"/>
              <w:left w:type="dxa" w:w="80"/>
              <w:bottom w:type="dxa" w:w="60"/>
              <w:right w:type="dxa" w:w="80"/>
            </w:tcMar>
          </w:tcPr>
          <w:p>
            <w:pPr>
              <w:jc w:val="center"/>
            </w:pPr>
            <w:r>
              <w:rPr>
                <w:rFonts w:ascii="Arial" w:cs="Arial" w:eastAsia="Arial" w:hAnsi="Arial"/>
                <w:b/>
                <w:bCs/>
                <w:color w:val="FFFFFF"/>
                <w:sz w:val="18"/>
                <w:szCs w:val="18"/>
              </w:rPr>
              <w:t xml:space="preserve">Notable Example</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Ransomware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18</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color w:val="666666"/>
                <w:sz w:val="18"/>
                <w:szCs w:val="18"/>
              </w:rPr>
              <w:t xml:space="preserve">12</w:t>
            </w:r>
          </w:p>
        </w:tc>
        <w:tc>
          <w:tcPr>
            <w:tcW w:type="dxa" w:w="4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555555"/>
                <w:sz w:val="16"/>
                <w:szCs w:val="16"/>
              </w:rPr>
              <w:t xml:space="preserve">Pharma manufacturer: 12-day production halt, FDA notification</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Data Theft / Exfiltration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color w:val="666666"/>
                <w:sz w:val="18"/>
                <w:szCs w:val="18"/>
              </w:rPr>
              <w:t xml:space="preserve">9</w:t>
            </w:r>
          </w:p>
        </w:tc>
        <w:tc>
          <w:tcPr>
            <w:tcW w:type="dxa" w:w="4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555555"/>
                <w:sz w:val="16"/>
                <w:szCs w:val="16"/>
              </w:rPr>
              <w:t xml:space="preserve">Genomics institute: 2.3M patient samples accessed</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Manufacturing / OT Disruption</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5</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color w:val="666666"/>
                <w:sz w:val="18"/>
                <w:szCs w:val="18"/>
              </w:rPr>
              <w:t xml:space="preserve">3</w:t>
            </w:r>
          </w:p>
        </w:tc>
        <w:tc>
          <w:tcPr>
            <w:tcW w:type="dxa" w:w="4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555555"/>
                <w:sz w:val="16"/>
                <w:szCs w:val="16"/>
              </w:rPr>
              <w:t xml:space="preserve">Medical device mfg: assembly line shutdown, 8-day recovery</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Business Email Compromise</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6</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color w:val="666666"/>
                <w:sz w:val="18"/>
                <w:szCs w:val="18"/>
              </w:rPr>
              <w:t xml:space="preserve">5</w:t>
            </w:r>
          </w:p>
        </w:tc>
        <w:tc>
          <w:tcPr>
            <w:tcW w:type="dxa" w:w="4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555555"/>
                <w:sz w:val="16"/>
                <w:szCs w:val="16"/>
              </w:rPr>
              <w:t xml:space="preserve">CRO: $3.8M fraudulent wire transfers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Third-Party / Vendor</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4</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color w:val="666666"/>
                <w:sz w:val="18"/>
                <w:szCs w:val="18"/>
              </w:rPr>
              <w:t xml:space="preserve">4</w:t>
            </w:r>
          </w:p>
        </w:tc>
        <w:tc>
          <w:tcPr>
            <w:tcW w:type="dxa" w:w="4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555555"/>
                <w:sz w:val="16"/>
                <w:szCs w:val="16"/>
              </w:rPr>
              <w:t xml:space="preserve">Lab software vendor: credentials exposed for 200+ customers</w:t>
            </w:r>
          </w:p>
        </w:tc>
      </w:tr>
      <w:tr>
        <w:tc>
          <w:tcPr>
            <w:tcW w:type="dxa" w:w="30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Unauthorized Access</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b/>
                <w:bCs/>
                <w:sz w:val="18"/>
                <w:szCs w:val="18"/>
              </w:rPr>
              <w:t xml:space="preserve">3</w:t>
            </w:r>
          </w:p>
        </w:tc>
        <w:tc>
          <w:tcPr>
            <w:tcW w:type="dxa" w:w="1500"/>
            <w:tcBorders>
              <w:top w:val="single" w:color="CCCCCC" w:sz="1"/>
              <w:left w:val="single" w:color="CCCCCC" w:sz="1"/>
              <w:bottom w:val="single" w:color="CCCCCC" w:sz="1"/>
              <w:right w:val="single" w:color="CCCCCC" w:sz="1"/>
            </w:tcBorders>
            <w:tcMar>
              <w:top w:type="dxa" w:w="60"/>
              <w:left w:type="dxa" w:w="80"/>
              <w:bottom w:type="dxa" w:w="60"/>
              <w:right w:type="dxa" w:w="80"/>
            </w:tcMar>
          </w:tcPr>
          <w:p>
            <w:pPr>
              <w:jc w:val="center"/>
            </w:pPr>
            <w:r>
              <w:rPr>
                <w:rFonts w:ascii="Arial" w:cs="Arial" w:eastAsia="Arial" w:hAnsi="Arial"/>
                <w:color w:val="666666"/>
                <w:sz w:val="18"/>
                <w:szCs w:val="18"/>
              </w:rPr>
              <w:t xml:space="preserve">3</w:t>
            </w:r>
          </w:p>
        </w:tc>
        <w:tc>
          <w:tcPr>
            <w:tcW w:type="dxa" w:w="408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i/>
                <w:iCs/>
                <w:color w:val="555555"/>
                <w:sz w:val="16"/>
                <w:szCs w:val="16"/>
              </w:rPr>
              <w:t xml:space="preserve">Biotech: former employee accessed IP post-termination</w:t>
            </w:r>
          </w:p>
        </w:tc>
      </w:tr>
    </w:tbl>
    <w:p>
      <w:pPr>
        <w:spacing w:before="160"/>
      </w:pPr>
    </w:p>
    <w:p>
      <w:pPr>
        <w:spacing w:after="200"/>
      </w:pPr>
      <w:r>
        <w:rPr>
          <w:rFonts w:ascii="Arial" w:cs="Arial" w:eastAsia="Arial" w:hAnsi="Arial"/>
          <w:b/>
          <w:bCs/>
          <w:sz w:val="20"/>
          <w:szCs w:val="20"/>
        </w:rPr>
        <w:t xml:space="preserve">Common factors across incidents: </w:t>
      </w:r>
      <w:r>
        <w:rPr>
          <w:rFonts w:ascii="Arial" w:cs="Arial" w:eastAsia="Arial" w:hAnsi="Arial"/>
          <w:sz w:val="20"/>
          <w:szCs w:val="20"/>
        </w:rPr>
        <w:t xml:space="preserve">Exploitation of unpatched internet-facing systems (34%), compromised credentials without MFA (28%), third-party vendor compromise (19%), and social engineering (19%). Average time to detection was 47 days, with ransomware incidents detected fastest (average 3 days) due to operational impact.</w:t>
      </w:r>
    </w:p>
    <w:p>
      <w:pPr>
        <w:pStyle w:val="Heading1"/>
      </w:pPr>
      <w:r>
        <w:t xml:space="preserve">Geopolitical Threat Landscape</w:t>
      </w:r>
    </w:p>
    <w:p>
      <w:pPr>
        <w:spacing w:after="160"/>
      </w:pPr>
      <w:r>
        <w:rPr>
          <w:rFonts w:ascii="Arial" w:cs="Arial" w:eastAsia="Arial" w:hAnsi="Arial"/>
          <w:i/>
          <w:iCs/>
          <w:color w:val="666666"/>
          <w:sz w:val="18"/>
          <w:szCs w:val="18"/>
        </w:rPr>
        <w:t xml:space="preserve">Nation-state cyber activity with implications for the life sciences and genomics sector during Q1 2026.</w:t>
      </w:r>
    </w:p>
    <w:p>
      <w:pPr>
        <w:pStyle w:val="Heading2"/>
      </w:pPr>
      <w:r>
        <w:t xml:space="preserve">China</w:t>
      </w:r>
    </w:p>
    <w:p>
      <w:pPr>
        <w:spacing w:after="120"/>
      </w:pPr>
      <w:r>
        <w:rPr>
          <w:rFonts w:ascii="Arial" w:cs="Arial" w:eastAsia="Arial" w:hAnsi="Arial"/>
          <w:b/>
          <w:bCs/>
          <w:sz w:val="21"/>
          <w:szCs w:val="21"/>
        </w:rPr>
        <w:t xml:space="preserve">Strategic Context: </w:t>
      </w:r>
      <w:r>
        <w:rPr>
          <w:rFonts w:ascii="Arial" w:cs="Arial" w:eastAsia="Arial" w:hAnsi="Arial"/>
          <w:sz w:val="21"/>
          <w:szCs w:val="21"/>
        </w:rPr>
        <w:t xml:space="preserve">China's 14th Five-Year Plan designates biotechnology as a strategic priority, with specific emphasis on genomics, precision medicine, and biomanufacturing. The Ministry of State Security (MSS) and affiliated contractors maintain persistent campaigns against Western life sciences and precision manufacturing organizations to accelerate domestic capabilities, reduce reliance on foreign technology, and acquire advanced manufacturing processes for sequencing equipment and diagnostic instruments.</w:t>
      </w:r>
    </w:p>
    <w:p>
      <w:pPr>
        <w:spacing w:after="120"/>
      </w:pPr>
      <w:r>
        <w:rPr>
          <w:rFonts w:ascii="Arial" w:cs="Arial" w:eastAsia="Arial" w:hAnsi="Arial"/>
          <w:b/>
          <w:bCs/>
          <w:sz w:val="21"/>
          <w:szCs w:val="21"/>
        </w:rPr>
        <w:t xml:space="preserve">Q1 Activity: </w:t>
      </w:r>
      <w:r>
        <w:rPr>
          <w:rFonts w:ascii="Arial" w:cs="Arial" w:eastAsia="Arial" w:hAnsi="Arial"/>
          <w:sz w:val="21"/>
          <w:szCs w:val="21"/>
        </w:rPr>
        <w:t xml:space="preserve">APT41 and associated clusters conducted multiple intrusions against pharmaceutical and genomics companies via compromised software update mechanisms. GENESIS PANDA conducted spearphishing campaigns impersonating academic collaborators, targeting researchers at US and European institutions. These campaigns delivered ShadowPad malware for long-term access and data exfiltration. Intelligence indicates specific interest in sequencing technology, clinical trial data, and biomanufacturing processes.</w:t>
      </w:r>
    </w:p>
    <w:p>
      <w:pPr>
        <w:spacing w:after="160"/>
      </w:pPr>
      <w:r>
        <w:rPr>
          <w:rFonts w:ascii="Arial" w:cs="Arial" w:eastAsia="Arial" w:hAnsi="Arial"/>
          <w:b/>
          <w:bCs/>
          <w:sz w:val="21"/>
          <w:szCs w:val="21"/>
        </w:rPr>
        <w:t xml:space="preserve">Business Implications: </w:t>
      </w:r>
      <w:r>
        <w:rPr>
          <w:rFonts w:ascii="Arial" w:cs="Arial" w:eastAsia="Arial" w:hAnsi="Arial"/>
          <w:sz w:val="21"/>
          <w:szCs w:val="21"/>
        </w:rPr>
        <w:t xml:space="preserve">Theft of proprietary research, sequencing technology designs, or manufacturing processes could erode competitive advantage and represent significant R&amp;D investment loss. Compromise of manufacturing systems or supply chain data may affect production continuity and customer trust. Supply chain compromise via software vendors presents risk to both research and manufacturing environments.</w:t>
      </w:r>
    </w:p>
    <w:p>
      <w:pPr>
        <w:pStyle w:val="Heading2"/>
      </w:pPr>
      <w:r>
        <w:t xml:space="preserve">Russia</w:t>
      </w:r>
    </w:p>
    <w:p>
      <w:pPr>
        <w:spacing w:after="120"/>
      </w:pPr>
      <w:r>
        <w:rPr>
          <w:rFonts w:ascii="Arial" w:cs="Arial" w:eastAsia="Arial" w:hAnsi="Arial"/>
          <w:b/>
          <w:bCs/>
          <w:sz w:val="21"/>
          <w:szCs w:val="21"/>
        </w:rPr>
        <w:t xml:space="preserve">Strategic Context: </w:t>
      </w:r>
      <w:r>
        <w:rPr>
          <w:rFonts w:ascii="Arial" w:cs="Arial" w:eastAsia="Arial" w:hAnsi="Arial"/>
          <w:sz w:val="21"/>
          <w:szCs w:val="21"/>
        </w:rPr>
        <w:t xml:space="preserve">Russian state cyber interests in life sciences remain opportunistic, focusing on vaccine research and healthcare disruption capabilities. However, Russian-speaking criminal groups operating with implicit state tolerance represent the most significant ransomware threat to the sector globally.</w:t>
      </w:r>
    </w:p>
    <w:p>
      <w:pPr>
        <w:spacing w:after="120"/>
      </w:pPr>
      <w:r>
        <w:rPr>
          <w:rFonts w:ascii="Arial" w:cs="Arial" w:eastAsia="Arial" w:hAnsi="Arial"/>
          <w:b/>
          <w:bCs/>
          <w:sz w:val="21"/>
          <w:szCs w:val="21"/>
        </w:rPr>
        <w:t xml:space="preserve">Q1 Activity: </w:t>
      </w:r>
      <w:r>
        <w:rPr>
          <w:rFonts w:ascii="Arial" w:cs="Arial" w:eastAsia="Arial" w:hAnsi="Arial"/>
          <w:sz w:val="21"/>
          <w:szCs w:val="21"/>
        </w:rPr>
        <w:t xml:space="preserve">Ransomware incidents affecting healthcare, pharmaceutical, and manufacturing organizations increased 31% quarter-over-quarter. LockBit, ALPHV/BlackCat, and Cl0p affiliates accounted for the majority of attacks, with several incidents specifically targeting manufacturing execution systems (MES) and industrial control environments. Initial access broker activity on Russian-language forums showed increased credential sales for healthcare and manufacturing organizations, indicating a pipeline of future attacks. Lumma Stealer distribution via fake GitHub repositories targeted developers at technology and life sciences companies.</w:t>
      </w:r>
    </w:p>
    <w:p>
      <w:pPr>
        <w:spacing w:after="160"/>
      </w:pPr>
      <w:r>
        <w:rPr>
          <w:rFonts w:ascii="Arial" w:cs="Arial" w:eastAsia="Arial" w:hAnsi="Arial"/>
          <w:b/>
          <w:bCs/>
          <w:sz w:val="21"/>
          <w:szCs w:val="21"/>
        </w:rPr>
        <w:t xml:space="preserve">Business Implications: </w:t>
      </w:r>
      <w:r>
        <w:rPr>
          <w:rFonts w:ascii="Arial" w:cs="Arial" w:eastAsia="Arial" w:hAnsi="Arial"/>
          <w:sz w:val="21"/>
          <w:szCs w:val="21"/>
        </w:rPr>
        <w:t xml:space="preserve">Ransomware incidents in life sciences and manufacturing average $4.2M in recovery costs and 23 days of operational disruption. Manufacturing environments face extended recovery timelines due to OT system complexity and validation requirements. Beyond direct costs, incidents trigger regulatory notification requirements (HIPAA, FDA, GDPR) and may affect production continuity, clinical trial timelines, customer delivery commitments, and reputation.</w:t>
      </w:r>
    </w:p>
    <w:p>
      <w:pPr>
        <w:pStyle w:val="Heading2"/>
      </w:pPr>
      <w:r>
        <w:t xml:space="preserve">North Korea</w:t>
      </w:r>
    </w:p>
    <w:p>
      <w:pPr>
        <w:spacing w:after="120"/>
      </w:pPr>
      <w:r>
        <w:rPr>
          <w:rFonts w:ascii="Arial" w:cs="Arial" w:eastAsia="Arial" w:hAnsi="Arial"/>
          <w:b/>
          <w:bCs/>
          <w:sz w:val="21"/>
          <w:szCs w:val="21"/>
        </w:rPr>
        <w:t xml:space="preserve">Strategic Context: </w:t>
      </w:r>
      <w:r>
        <w:rPr>
          <w:rFonts w:ascii="Arial" w:cs="Arial" w:eastAsia="Arial" w:hAnsi="Arial"/>
          <w:sz w:val="21"/>
          <w:szCs w:val="21"/>
        </w:rPr>
        <w:t xml:space="preserve">North Korean cyber operations serve dual purposes: revenue generation to circumvent sanctions and acquisition of medical/pharmaceutical research for domestic programs. The regime has demonstrated sustained interest in vaccine and therapeutic research since 2020 and increasingly targets cryptocurrency assets held by technology employees.</w:t>
      </w:r>
    </w:p>
    <w:p>
      <w:pPr>
        <w:spacing w:after="120"/>
      </w:pPr>
      <w:r>
        <w:rPr>
          <w:rFonts w:ascii="Arial" w:cs="Arial" w:eastAsia="Arial" w:hAnsi="Arial"/>
          <w:b/>
          <w:bCs/>
          <w:sz w:val="21"/>
          <w:szCs w:val="21"/>
        </w:rPr>
        <w:t xml:space="preserve">Q1 Activity: </w:t>
      </w:r>
      <w:r>
        <w:rPr>
          <w:rFonts w:ascii="Arial" w:cs="Arial" w:eastAsia="Arial" w:hAnsi="Arial"/>
          <w:sz w:val="21"/>
          <w:szCs w:val="21"/>
        </w:rPr>
        <w:t xml:space="preserve">Lazarus Group, Kimsuky, and VELVET CHOLLIMA conducted social engineering campaigns via LinkedIn and professional networking platforms throughout the quarter. Campaigns used fake recruiter personas targeting biotechnology researchers and executives with fabricated job opportunities. Secondary objectives included cryptocurrency wallet theft from compromised developer workstations.</w:t>
      </w:r>
    </w:p>
    <w:p>
      <w:pPr>
        <w:spacing w:after="160"/>
      </w:pPr>
      <w:r>
        <w:rPr>
          <w:rFonts w:ascii="Arial" w:cs="Arial" w:eastAsia="Arial" w:hAnsi="Arial"/>
          <w:b/>
          <w:bCs/>
          <w:sz w:val="21"/>
          <w:szCs w:val="21"/>
        </w:rPr>
        <w:t xml:space="preserve">Business Implications: </w:t>
      </w:r>
      <w:r>
        <w:rPr>
          <w:rFonts w:ascii="Arial" w:cs="Arial" w:eastAsia="Arial" w:hAnsi="Arial"/>
          <w:sz w:val="21"/>
          <w:szCs w:val="21"/>
        </w:rPr>
        <w:t xml:space="preserve">Credential compromise of research or executive personnel could provide access to sensitive environments, collaboration platforms, and IP repositories. Executive targeting also presents business email compromise risk for fraudulent transactions.</w:t>
      </w:r>
    </w:p>
    <w:p>
      <w:r>
        <w:br w:type="page"/>
      </w:r>
    </w:p>
    <w:p>
      <w:pPr>
        <w:pStyle w:val="Heading1"/>
      </w:pPr>
      <w:r>
        <w:t xml:space="preserve">Looking Ahead: Q2 2026</w:t>
      </w:r>
    </w:p>
    <w:p>
      <w:pPr>
        <w:spacing w:after="120"/>
      </w:pPr>
      <w:r>
        <w:rPr>
          <w:rFonts w:ascii="Arial" w:cs="Arial" w:eastAsia="Arial" w:hAnsi="Arial"/>
          <w:b/>
          <w:bCs/>
          <w:sz w:val="21"/>
          <w:szCs w:val="21"/>
        </w:rPr>
        <w:t xml:space="preserve">Threat Outlook: </w:t>
      </w:r>
      <w:r>
        <w:rPr>
          <w:rFonts w:ascii="Arial" w:cs="Arial" w:eastAsia="Arial" w:hAnsi="Arial"/>
          <w:sz w:val="21"/>
          <w:szCs w:val="21"/>
        </w:rPr>
        <w:t xml:space="preserve">We anticipate continued pressure from state-sponsored espionage campaigns as genomics research and precision manufacturing technology becomes increasingly valuable to national biotechnology programs. Ransomware activity shows no signs of contraction; healthcare-adjacent and manufacturing organizations remain attractive targets due to operational sensitivity and pressure to restore production quickly. Supply chain security warrants increased attention following Q1 software vendor compromises affecting both IT and OT environments.</w:t>
      </w:r>
    </w:p>
    <w:p>
      <w:pPr>
        <w:spacing w:after="120"/>
      </w:pPr>
      <w:r>
        <w:rPr>
          <w:rFonts w:ascii="Arial" w:cs="Arial" w:eastAsia="Arial" w:hAnsi="Arial"/>
          <w:b/>
          <w:bCs/>
          <w:sz w:val="21"/>
          <w:szCs w:val="21"/>
        </w:rPr>
        <w:t xml:space="preserve">Planned Initiatives: </w:t>
      </w:r>
      <w:r>
        <w:rPr>
          <w:rFonts w:ascii="Arial" w:cs="Arial" w:eastAsia="Arial" w:hAnsi="Arial"/>
          <w:sz w:val="21"/>
          <w:szCs w:val="21"/>
        </w:rPr>
        <w:t xml:space="preserve">Integration of Microsoft Sentinel for unified security event correlation. Development of automated threat intelligence sharing with industry partners via H-ISAC. Expansion of executive threat briefing program to include targeted awareness for research leadership. Enhancement of third-party risk monitoring to include software vendor threat exposure.</w:t>
      </w:r>
    </w:p>
    <w:p>
      <w:pPr>
        <w:spacing w:after="160"/>
      </w:pPr>
      <w:r>
        <w:rPr>
          <w:rFonts w:ascii="Arial" w:cs="Arial" w:eastAsia="Arial" w:hAnsi="Arial"/>
          <w:b/>
          <w:bCs/>
          <w:sz w:val="21"/>
          <w:szCs w:val="21"/>
        </w:rPr>
        <w:t xml:space="preserve">Watch Items: </w:t>
      </w:r>
      <w:r>
        <w:rPr>
          <w:rFonts w:ascii="Arial" w:cs="Arial" w:eastAsia="Arial" w:hAnsi="Arial"/>
          <w:sz w:val="21"/>
          <w:szCs w:val="21"/>
        </w:rPr>
        <w:t xml:space="preserve">Potential escalation in state-sponsored activity around major genomics conferences, product launches, and partnership announcements. Continued evolution of ransomware tactics, particularly targeting of manufacturing and OT environments. Increased regulatory enforcement activity following Q1 peer breaches.</w:t>
      </w:r>
    </w:p>
    <w:p>
      <w:pPr>
        <w:pStyle w:val="Heading1"/>
      </w:pPr>
      <w:r>
        <w:t xml:space="preserve">Recommendations for Leadership</w:t>
      </w:r>
    </w:p>
    <w:p>
      <w:pPr>
        <w:pStyle w:val="ListParagraph"/>
        <w:numPr>
          <w:ilvl w:val="0"/>
          <w:numId w:val="2"/>
        </w:numPr>
        <w:spacing w:after="80"/>
      </w:pPr>
      <w:r>
        <w:rPr>
          <w:rFonts w:ascii="Arial" w:cs="Arial" w:eastAsia="Arial" w:hAnsi="Arial"/>
          <w:b/>
          <w:bCs/>
          <w:sz w:val="21"/>
          <w:szCs w:val="21"/>
        </w:rPr>
        <w:t xml:space="preserve">Executive Awareness: </w:t>
      </w:r>
      <w:r>
        <w:rPr>
          <w:rFonts w:ascii="Arial" w:cs="Arial" w:eastAsia="Arial" w:hAnsi="Arial"/>
          <w:sz w:val="21"/>
          <w:szCs w:val="21"/>
        </w:rPr>
        <w:t xml:space="preserve">Consider targeted security awareness for executives and key research personnel given sustained social engineering campaigns via professional networks. CTI team can provide customized briefing.</w:t>
      </w:r>
    </w:p>
    <w:p>
      <w:pPr>
        <w:pStyle w:val="ListParagraph"/>
        <w:numPr>
          <w:ilvl w:val="0"/>
          <w:numId w:val="2"/>
        </w:numPr>
        <w:spacing w:after="80"/>
      </w:pPr>
      <w:r>
        <w:rPr>
          <w:rFonts w:ascii="Arial" w:cs="Arial" w:eastAsia="Arial" w:hAnsi="Arial"/>
          <w:b/>
          <w:bCs/>
          <w:sz w:val="21"/>
          <w:szCs w:val="21"/>
        </w:rPr>
        <w:t xml:space="preserve">Vendor Risk Review: </w:t>
      </w:r>
      <w:r>
        <w:rPr>
          <w:rFonts w:ascii="Arial" w:cs="Arial" w:eastAsia="Arial" w:hAnsi="Arial"/>
          <w:sz w:val="21"/>
          <w:szCs w:val="21"/>
        </w:rPr>
        <w:t xml:space="preserve">Evaluate security posture of critical software and laboratory equipment vendors given Q1 supply chain compromise activity. Prioritize vendors with privileged access to research and manufacturing environments.</w:t>
      </w:r>
    </w:p>
    <w:p>
      <w:pPr>
        <w:pStyle w:val="ListParagraph"/>
        <w:numPr>
          <w:ilvl w:val="0"/>
          <w:numId w:val="2"/>
        </w:numPr>
        <w:spacing w:after="80"/>
      </w:pPr>
      <w:r>
        <w:rPr>
          <w:rFonts w:ascii="Arial" w:cs="Arial" w:eastAsia="Arial" w:hAnsi="Arial"/>
          <w:b/>
          <w:bCs/>
          <w:sz w:val="21"/>
          <w:szCs w:val="21"/>
        </w:rPr>
        <w:t xml:space="preserve">Manufacturing Environment Security: </w:t>
      </w:r>
      <w:r>
        <w:rPr>
          <w:rFonts w:ascii="Arial" w:cs="Arial" w:eastAsia="Arial" w:hAnsi="Arial"/>
          <w:sz w:val="21"/>
          <w:szCs w:val="21"/>
        </w:rPr>
        <w:t xml:space="preserve">Review network segmentation between IT and OT/manufacturing systems. Ensure incident response plans address manufacturing disruption scenarios and production recovery timelines.</w:t>
      </w:r>
    </w:p>
    <w:p>
      <w:pPr>
        <w:pStyle w:val="ListParagraph"/>
        <w:numPr>
          <w:ilvl w:val="0"/>
          <w:numId w:val="2"/>
        </w:numPr>
        <w:spacing w:after="80"/>
      </w:pPr>
      <w:r>
        <w:rPr>
          <w:rFonts w:ascii="Arial" w:cs="Arial" w:eastAsia="Arial" w:hAnsi="Arial"/>
          <w:b/>
          <w:bCs/>
          <w:sz w:val="21"/>
          <w:szCs w:val="21"/>
        </w:rPr>
        <w:t xml:space="preserve">Incident Response Readiness: </w:t>
      </w:r>
      <w:r>
        <w:rPr>
          <w:rFonts w:ascii="Arial" w:cs="Arial" w:eastAsia="Arial" w:hAnsi="Arial"/>
          <w:sz w:val="21"/>
          <w:szCs w:val="21"/>
        </w:rPr>
        <w:t xml:space="preserve">Confirm ransomware response plans address SEC disclosure timelines (4-day materiality determination), FDA notification requirements, and manufacturing continuity scenarios.</w:t>
      </w:r>
    </w:p>
    <w:p>
      <w:pPr>
        <w:pStyle w:val="ListParagraph"/>
        <w:numPr>
          <w:ilvl w:val="0"/>
          <w:numId w:val="2"/>
        </w:numPr>
        <w:spacing w:after="200"/>
      </w:pPr>
      <w:r>
        <w:rPr>
          <w:rFonts w:ascii="Arial" w:cs="Arial" w:eastAsia="Arial" w:hAnsi="Arial"/>
          <w:b/>
          <w:bCs/>
          <w:sz w:val="21"/>
          <w:szCs w:val="21"/>
        </w:rPr>
        <w:t xml:space="preserve">Board Reporting: </w:t>
      </w:r>
      <w:r>
        <w:rPr>
          <w:rFonts w:ascii="Arial" w:cs="Arial" w:eastAsia="Arial" w:hAnsi="Arial"/>
          <w:sz w:val="21"/>
          <w:szCs w:val="21"/>
        </w:rPr>
        <w:t xml:space="preserve">Q1 peer incidents and regulatory enforcement may prompt board inquiries regarding Illumina's security posture. CTI team available to support preparation of sector threat context and benchmarking data.</w:t>
      </w:r>
    </w:p>
    <w:p>
      <w:pPr>
        <w:spacing w:before="200"/>
      </w:pPr>
      <w:r>
        <w:rPr>
          <w:rFonts w:ascii="Arial" w:cs="Arial" w:eastAsia="Arial" w:hAnsi="Arial"/>
          <w:b/>
          <w:bCs/>
          <w:sz w:val="20"/>
          <w:szCs w:val="20"/>
        </w:rPr>
        <w:t xml:space="preserve">Prepared by: </w:t>
      </w:r>
      <w:r>
        <w:rPr>
          <w:rFonts w:ascii="Arial" w:cs="Arial" w:eastAsia="Arial" w:hAnsi="Arial"/>
          <w:sz w:val="20"/>
          <w:szCs w:val="20"/>
        </w:rPr>
        <w:t xml:space="preserve">Cyber Threat Intelligence  |  </w:t>
      </w:r>
      <w:r>
        <w:rPr>
          <w:rFonts w:ascii="Arial" w:cs="Arial" w:eastAsia="Arial" w:hAnsi="Arial"/>
          <w:color w:val="1565C0"/>
          <w:sz w:val="20"/>
          <w:szCs w:val="20"/>
        </w:rPr>
        <w:t xml:space="preserve">cti@illumina.com</w:t>
      </w:r>
    </w:p>
    <w:p>
      <w:pPr>
        <w:shd w:fill="F5F5F5" w:val="clear"/>
        <w:spacing w:before="20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CrowdStrike Falcon Intelligence, Intel471 Titan, HHS Breach Portal, FBI IC3, SEC filings, state attorney general notifications, FDA guidance publications, and open source intelligence. Breach statistics compiled from public disclosures and may not reflect total incident volume. Threat assessments reflect analyst judgment and do not indicate confirmed targeting of Illumina.</w:t>
      </w:r>
    </w:p>
    <w:sectPr>
      <w:headerReference w:type="default" r:id="rId6"/>
      <w:footerReference w:type="default" r:id="rId7"/>
      <w:pgSz w:w="12240" w:h="15840" w:orient="portrait"/>
      <w:pgMar w:top="180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i/>
        <w:iCs/>
        <w:sz w:val="18"/>
        <w:szCs w:val="18"/>
      </w:rPr>
      <w:t xml:space="preserve">TLP: </w:t>
    </w:r>
    <w:r>
      <w:rPr>
        <w:rFonts w:ascii="Arial" w:cs="Arial" w:eastAsia="Arial" w:hAnsi="Arial"/>
        <w:b/>
        <w:bCs/>
        <w:i/>
        <w:iCs/>
        <w:color w:val="F57C00"/>
        <w:sz w:val="18"/>
        <w:szCs w:val="18"/>
      </w:rPr>
      <w:t xml:space="preserve">AMBER+STRICT</w:t>
    </w:r>
    <w:r>
      <w:rPr>
        <w:rFonts w:ascii="Arial" w:cs="Arial" w:eastAsia="Arial" w:hAnsi="Arial"/>
        <w:sz w:val="18"/>
        <w:szCs w:val="18"/>
      </w:rPr>
      <w:t xml:space="preserve">  |  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6667500" cy="762000"/>
          <wp:effectExtent t="0" r="0" b="0" l="0"/>
          <wp:docPr id="1" name="header" descr="Illumina Logo" title="Illum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0" cy="7620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E65100"/>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4aa2f47191506283168c81d9434bd009a74842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2026-01-27T17:37:09.411Z</dcterms:created>
  <dcterms:modified xsi:type="dcterms:W3CDTF">2026-01-27T17:37:09.412Z</dcterms:modified>
</cp:coreProperties>
</file>

<file path=docProps/custom.xml><?xml version="1.0" encoding="utf-8"?>
<Properties xmlns="http://schemas.openxmlformats.org/officeDocument/2006/custom-properties" xmlns:vt="http://schemas.openxmlformats.org/officeDocument/2006/docPropsVTypes"/>
</file>