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0" w:line="216" w:lineRule="auto"/>
        <w:jc w:val="left"/>
      </w:pPr>
      <w:r>
        <w:rPr>
          <w:rFonts w:ascii="Arial" w:hAnsi="Arial"/>
          <w:b/>
          <w:color w:val="FF5C41"/>
          <w:sz w:val="36"/>
        </w:rPr>
        <w:t>Cyber Threat Intelligence Weekly Report</w:t>
      </w:r>
    </w:p>
    <w:p>
      <w:pPr>
        <w:spacing w:before="40" w:after="120"/>
        <w:jc w:val="left"/>
      </w:pPr>
      <w:r>
        <w:rPr>
          <w:rFonts w:ascii="Arial" w:hAnsi="Arial"/>
          <w:color w:val="B0B0B0"/>
          <w:sz w:val="20"/>
        </w:rPr>
        <w:t>7-Day Lookback | May 21 to May 28, 2026</w:t>
      </w:r>
    </w:p>
    <w:p/>
    <w:p>
      <w:pPr>
        <w:pStyle w:val="Heading1"/>
        <w:spacing w:before="0" w:after="0"/>
      </w:pPr>
      <w:r>
        <w:rPr>
          <w:rFonts w:ascii="Arial" w:hAnsi="Arial"/>
          <w:b/>
          <w:color w:val="FF5C41"/>
          <w:sz w:val="28"/>
        </w:rPr>
        <w:t>Executive Summary</w:t>
      </w:r>
    </w:p>
    <w:p>
      <w:pPr>
        <w:spacing w:before="0" w:after="0"/>
        <w:jc w:val="center"/>
      </w:pPr>
      <w:r>
        <w:rPr>
          <w:color w:val="666666"/>
          <w:sz w:val="21"/>
        </w:rPr>
        <w:t>•</w:t>
      </w:r>
    </w:p>
    <w:p>
      <w:pPr>
        <w:spacing w:before="0" w:after="80" w:line="360" w:lineRule="auto"/>
      </w:pPr>
      <w:r>
        <w:rPr>
          <w:rFonts w:ascii="Arial" w:hAnsi="Arial"/>
          <w:color w:val="333333"/>
          <w:sz w:val="21"/>
        </w:rPr>
        <w:t>This week, threat intelligence highlights significant risks to genomics, biotech, and manufacturing organizations from both criminal and state-sponsored actors. CrowdStrike data shows ongoing targeting of healthcare, pharmaceutical, and manufacturing sectors by groups such as PLUMP SPIDER, STATIC KITTEN, HOOK SPIDER, and TRAVELING SPIDER, with motivations ranging from financial gain to espionage. Intel471 reports confirm active exploitation and extortion campaigns, including ransomware and data leaks, impacting healthcare and life sciences organizations. The presence of actors like MrAnon00 operating data leak sites further underscores the risk of intellectual property and patient data exposure.</w:t>
        <w:br/>
        <w:br/>
        <w:t>Critical vulnerabilities are being actively exploited, most notably CVE-2026-48172 in the LiteSpeed cPanel Plugin, which is listed in the CISA KEV catalog and has evidence of exploitation in the wild. This vulnerability enables privilege escalation and poses a direct threat to research data and laboratory systems. Peer incidents remain prominent, with breaches at major organizations such as Carnival Corporation, Charter Communications, GitHub, and Covenant Health hospitals, demonstrating the ongoing targeting of large enterprises and healthcare providers [1][2][3][4]. These real-world breaches reinforce the need for immediate action to secure sensitive data, laboratory equipment, and supply chain operations.</w:t>
      </w:r>
    </w:p>
    <w:p>
      <w:pPr>
        <w:pStyle w:val="Heading1"/>
        <w:spacing w:before="120" w:after="0"/>
      </w:pPr>
      <w:r>
        <w:rPr>
          <w:rFonts w:ascii="Arial" w:hAnsi="Arial"/>
          <w:b/>
          <w:color w:val="FF5C41"/>
          <w:sz w:val="28"/>
        </w:rPr>
        <w:t xml:space="preserve">This Week </w:t>
      </w:r>
      <w:r>
        <w:rPr>
          <w:rFonts w:ascii="Arial" w:hAnsi="Arial"/>
          <w:b/>
          <w:color w:val="FF5C41"/>
          <w:sz w:val="28"/>
          <w:u w:val="none"/>
        </w:rPr>
        <w:t>at a Glance</w:t>
      </w:r>
    </w:p>
    <w:p>
      <w:pPr>
        <w:spacing w:before="200" w:after="80"/>
      </w:pPr>
      <w:r>
        <w:rPr>
          <w:rFonts w:ascii="Arial" w:hAnsi="Arial"/>
          <w:i/>
          <w:color w:val="B0B0B0"/>
          <w:sz w:val="18"/>
        </w:rPr>
        <w:t>Threat intelligence metrics from Intel471, CrowdStrike, and OSINT (May 21 to May 28, 2026).</w:t>
      </w:r>
    </w:p>
    <w:tbl>
      <w:tblPr>
        <w:tblW w:type="auto" w:w="0"/>
        <w:jc w:val="center"/>
        <w:tblLook w:firstColumn="1" w:firstRow="1" w:lastColumn="0" w:lastRow="0" w:noHBand="0" w:noVBand="1" w:val="04A0"/>
      </w:tblPr>
      <w:tblGrid>
        <w:gridCol w:w="5040"/>
        <w:gridCol w:w="5040"/>
      </w:tblGrid>
      <w:tr>
        <w:tc>
          <w:tcPr>
            <w:tcW w:type="dxa" w:w="504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5</w:t>
            </w:r>
          </w:p>
          <w:p>
            <w:pPr>
              <w:spacing w:before="0" w:after="40"/>
              <w:jc w:val="center"/>
            </w:pPr>
            <w:r>
              <w:rPr>
                <w:b/>
                <w:color w:val="000000"/>
                <w:sz w:val="20"/>
              </w:rPr>
              <w:t>Threat Actors</w:t>
            </w:r>
          </w:p>
          <w:p>
            <w:pPr>
              <w:spacing w:before="0" w:after="160"/>
              <w:jc w:val="center"/>
            </w:pPr>
            <w:r>
              <w:rPr>
                <w:rFonts w:ascii="Arial" w:hAnsi="Arial"/>
                <w:color w:val="666666"/>
                <w:sz w:val="16"/>
              </w:rPr>
              <w:t>APT groups active this week</w:t>
            </w:r>
          </w:p>
        </w:tc>
        <w:tc>
          <w:tcPr>
            <w:tcW w:type="dxa" w:w="504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5C41"/>
                <w:sz w:val="44"/>
              </w:rPr>
              <w:t>0</w:t>
            </w:r>
          </w:p>
          <w:p>
            <w:pPr>
              <w:spacing w:before="0" w:after="40"/>
              <w:jc w:val="center"/>
            </w:pPr>
            <w:r>
              <w:rPr>
                <w:b/>
                <w:color w:val="000000"/>
                <w:sz w:val="20"/>
              </w:rPr>
              <w:t>Active Campaigns</w:t>
            </w:r>
          </w:p>
          <w:p>
            <w:pPr>
              <w:spacing w:before="0" w:after="160"/>
              <w:jc w:val="center"/>
            </w:pPr>
            <w:r>
              <w:rPr>
                <w:rFonts w:ascii="Arial" w:hAnsi="Arial"/>
                <w:color w:val="666666"/>
                <w:sz w:val="16"/>
              </w:rPr>
              <w:t>Operations from underground intel</w:t>
            </w:r>
          </w:p>
        </w:tc>
      </w:tr>
    </w:tbl>
    <w:p>
      <w:pPr>
        <w:spacing w:before="0" w:after="400"/>
      </w:pPr>
    </w:p>
    <w:tbl>
      <w:tblPr>
        <w:tblW w:type="auto" w:w="0"/>
        <w:jc w:val="center"/>
        <w:tblLook w:firstColumn="1" w:firstRow="1" w:lastColumn="0" w:lastRow="0" w:noHBand="0" w:noVBand="1" w:val="04A0"/>
      </w:tblPr>
      <w:tblGrid>
        <w:gridCol w:w="5040"/>
        <w:gridCol w:w="5040"/>
      </w:tblGrid>
      <w:tr>
        <w:tc>
          <w:tcPr>
            <w:tcW w:type="dxa" w:w="504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2</w:t>
            </w:r>
          </w:p>
          <w:p>
            <w:pPr>
              <w:spacing w:before="0" w:after="40"/>
              <w:jc w:val="center"/>
            </w:pPr>
            <w:r>
              <w:rPr>
                <w:b/>
                <w:color w:val="000000"/>
                <w:sz w:val="20"/>
              </w:rPr>
              <w:t>Exploited CVEs</w:t>
            </w:r>
          </w:p>
          <w:p>
            <w:pPr>
              <w:spacing w:before="0" w:after="160"/>
              <w:jc w:val="center"/>
            </w:pPr>
            <w:r>
              <w:rPr>
                <w:rFonts w:ascii="Arial" w:hAnsi="Arial"/>
                <w:color w:val="666666"/>
                <w:sz w:val="16"/>
              </w:rPr>
              <w:t>Known exploitation activity</w:t>
            </w:r>
          </w:p>
        </w:tc>
        <w:tc>
          <w:tcPr>
            <w:tcW w:type="dxa" w:w="504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4</w:t>
            </w:r>
          </w:p>
          <w:p>
            <w:pPr>
              <w:spacing w:before="0" w:after="40"/>
              <w:jc w:val="center"/>
            </w:pPr>
            <w:r>
              <w:rPr>
                <w:b/>
                <w:color w:val="000000"/>
                <w:sz w:val="20"/>
              </w:rPr>
              <w:t>Peer Incidents</w:t>
            </w:r>
          </w:p>
          <w:p>
            <w:pPr>
              <w:spacing w:before="0" w:after="160"/>
              <w:jc w:val="center"/>
            </w:pPr>
            <w:r>
              <w:rPr>
                <w:rFonts w:ascii="Arial" w:hAnsi="Arial"/>
                <w:color w:val="666666"/>
                <w:sz w:val="16"/>
              </w:rPr>
              <w:t>Company breaches observed</w:t>
            </w:r>
          </w:p>
        </w:tc>
      </w:tr>
    </w:tbl>
    <w:p>
      <w:pPr>
        <w:spacing w:before="0" w:after="120"/>
      </w:pPr>
    </w:p>
    <w:p>
      <w:pPr>
        <w:pStyle w:val="Heading1"/>
      </w:pPr>
      <w:r>
        <w:rPr>
          <w:rFonts w:ascii="Arial" w:hAnsi="Arial"/>
          <w:color w:val="FF5C41"/>
          <w:sz w:val="28"/>
        </w:rPr>
        <w:t>Exploited Vulnerabilities</w:t>
      </w:r>
    </w:p>
    <w:p>
      <w:r>
        <w:rPr>
          <w:i/>
          <w:color w:val="333333"/>
          <w:sz w:val="16"/>
        </w:rPr>
        <w:t>CVEs with confirmed exploitation from threat intelligence (CISA KEV, threat actors, ransomware)</w:t>
      </w:r>
    </w:p>
    <w:tbl>
      <w:tblPr>
        <w:tblW w:type="auto" w:w="0"/>
        <w:tblLook w:firstColumn="1" w:firstRow="1" w:lastColumn="0" w:lastRow="0" w:noHBand="0" w:noVBand="1" w:val="04A0"/>
      </w:tblPr>
      <w:tblGrid>
        <w:gridCol w:w="1440"/>
        <w:gridCol w:w="3600"/>
        <w:gridCol w:w="2592"/>
        <w:gridCol w:w="1296"/>
      </w:tblGrid>
      <w:tr>
        <w:tc>
          <w:tcPr>
            <w:tcW w:type="dxa" w:w="252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CVE ID</w:t>
            </w:r>
          </w:p>
        </w:tc>
        <w:tc>
          <w:tcPr>
            <w:tcW w:type="dxa" w:w="252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Affected Product</w:t>
            </w:r>
          </w:p>
        </w:tc>
        <w:tc>
          <w:tcPr>
            <w:tcW w:type="dxa" w:w="252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Exploitation Evidence</w:t>
            </w:r>
          </w:p>
        </w:tc>
        <w:tc>
          <w:tcPr>
            <w:tcW w:type="dxa" w:w="252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Source</w:t>
            </w:r>
          </w:p>
        </w:tc>
      </w:tr>
      <w:tr>
        <w:tc>
          <w:tcPr>
            <w:tcW w:type="dxa" w:w="2520"/>
            <w:tcBorders>
              <w:top w:val="single" w:sz="4" w:space="0" w:color="CCCCCC"/>
              <w:bottom w:val="single" w:sz="4" w:space="0" w:color="CCCCCC"/>
              <w:left w:val="single" w:sz="4" w:space="0" w:color="CCCCCC"/>
              <w:right w:val="single" w:sz="4" w:space="0" w:color="CCCCCC"/>
            </w:tcBorders>
          </w:tcPr>
          <w:p>
            <w:r>
              <w:rPr>
                <w:b/>
                <w:color w:val="333333"/>
                <w:sz w:val="18"/>
              </w:rPr>
            </w:r>
            <w:r>
              <w:rPr>
                <w:b/>
                <w:color w:val="333333"/>
                <w:sz w:val="18"/>
              </w:rPr>
              <w:t>CVE-2026-48172</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LiteSpeed cPanel Plugin</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CISA KEV</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[1][2]</w:t>
            </w:r>
          </w:p>
        </w:tc>
      </w:tr>
      <w:tr>
        <w:tc>
          <w:tcPr>
            <w:tcW w:type="dxa" w:w="2520"/>
            <w:tcBorders>
              <w:top w:val="single" w:sz="4" w:space="0" w:color="CCCCCC"/>
              <w:bottom w:val="single" w:sz="4" w:space="0" w:color="CCCCCC"/>
              <w:left w:val="single" w:sz="4" w:space="0" w:color="CCCCCC"/>
              <w:right w:val="single" w:sz="4" w:space="0" w:color="CCCCCC"/>
            </w:tcBorders>
          </w:tcPr>
          <w:p>
            <w:r>
              <w:rPr>
                <w:b/>
                <w:color w:val="333333"/>
                <w:sz w:val="18"/>
              </w:rPr>
            </w:r>
            <w:r>
              <w:rPr>
                <w:b/>
                <w:color w:val="333333"/>
                <w:sz w:val="18"/>
              </w:rPr>
              <w:t>CVE-2026-35616</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FortiClient EMS</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Active exploit</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[1][2]</w:t>
            </w:r>
          </w:p>
        </w:tc>
      </w:tr>
    </w:tbl>
    <w:p>
      <w:pPr>
        <w:jc w:val="left"/>
      </w:pPr>
      <w:r>
        <w:rPr>
          <w:rFonts w:ascii="Arial" w:hAnsi="Arial"/>
          <w:i/>
          <w:color w:val="666666"/>
          <w:sz w:val="14"/>
        </w:rPr>
        <w:t>Table: 2 exploited CVEs from threat intelligence sources (Intel471, CrowdStrike, CISA KEV, OSINT).</w:t>
      </w:r>
    </w:p>
    <w:p/>
    <w:p>
      <w:pPr>
        <w:pStyle w:val="Heading1"/>
      </w:pPr>
      <w:r>
        <w:rPr>
          <w:rFonts w:ascii="Arial" w:hAnsi="Arial"/>
          <w:color w:val="FF5C41"/>
          <w:sz w:val="28"/>
        </w:rPr>
        <w:t>Sector Threat Activity</w:t>
      </w:r>
    </w:p>
    <w:p>
      <w:r>
        <w:rPr>
          <w:i/>
          <w:color w:val="666666"/>
          <w:sz w:val="20"/>
        </w:rPr>
        <w:t>The following threat actors have been observed targeting organizations in the biotech, pharmaceutical, healthcare, manufacturing, and related sectors this week.</w:t>
      </w:r>
    </w:p>
    <w:p/>
    <w:tbl>
      <w:tblPr>
        <w:tblW w:type="auto" w:w="0"/>
        <w:tblLook w:firstColumn="1" w:firstRow="1" w:lastColumn="0" w:lastRow="0" w:noHBand="0" w:noVBand="1" w:val="04A0"/>
      </w:tblPr>
      <w:tblGrid>
        <w:gridCol w:w="3360"/>
        <w:gridCol w:w="3360"/>
        <w:gridCol w:w="3360"/>
      </w:tblGrid>
      <w:tr>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Origin / Motivation</w:t>
            </w:r>
          </w:p>
        </w:tc>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Activity Observed</w:t>
            </w:r>
          </w:p>
        </w:tc>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What to Monitor</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Brazil</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PLUMP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suspicious access attempts, ransomware indicators, and data exfiltration activity.</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Iran</w:t>
              <w:br/>
              <w:t>State-Sponsored</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STATIC KITTEN</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credential harvesting, suspicious outbound connections, and unauthorized access attempts.</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Unknown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HOOK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ransomware activity, lateral movement, and anomalous file access.</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Russian Federation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TRAVELING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ransomware payloads, credential theft, and suspicious outbound traffic.</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MrAnon00</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leaked credentials and extortion attempts.</w:t>
            </w:r>
          </w:p>
        </w:tc>
      </w:tr>
    </w:tbl>
    <w:p/>
    <w:p>
      <w:pPr>
        <w:pStyle w:val="Heading1"/>
      </w:pPr>
      <w:r>
        <w:rPr>
          <w:rFonts w:ascii="Arial" w:hAnsi="Arial"/>
          <w:color w:val="FF5C41"/>
          <w:sz w:val="28"/>
        </w:rPr>
        <w:t>Industry Incidents</w:t>
      </w:r>
    </w:p>
    <w:p>
      <w:r>
        <w:rPr>
          <w:i/>
          <w:color w:val="666666"/>
          <w:sz w:val="20"/>
        </w:rPr>
        <w:t>Notable security incidents affecting organizations in similar sectors or technology stacks, observed from underground intelligence, public breach disclosures, and security news sources.</w:t>
      </w:r>
    </w:p>
    <w:p/>
    <w:tbl>
      <w:tblPr>
        <w:tblW w:type="auto" w:w="0"/>
        <w:tblLook w:firstColumn="1" w:firstRow="1" w:lastColumn="0" w:lastRow="0" w:noHBand="0" w:noVBand="1" w:val="04A0"/>
      </w:tblPr>
      <w:tblGrid>
        <w:gridCol w:w="2880"/>
        <w:gridCol w:w="2160"/>
        <w:gridCol w:w="1440"/>
        <w:gridCol w:w="2448"/>
      </w:tblGrid>
      <w:tr>
        <w:tc>
          <w:tcPr>
            <w:tcW w:type="dxa" w:w="252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Organization</w:t>
            </w:r>
          </w:p>
        </w:tc>
        <w:tc>
          <w:tcPr>
            <w:tcW w:type="dxa" w:w="252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Incident Type</w:t>
            </w:r>
          </w:p>
        </w:tc>
        <w:tc>
          <w:tcPr>
            <w:tcW w:type="dxa" w:w="252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Date</w:t>
            </w:r>
          </w:p>
        </w:tc>
        <w:tc>
          <w:tcPr>
            <w:tcW w:type="dxa" w:w="252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Source</w:t>
            </w:r>
          </w:p>
        </w:tc>
      </w:tr>
      <w:tr>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Carnival Corporation</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Breach</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2026-05-28</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[5] BleepingComputer</w:t>
            </w:r>
          </w:p>
        </w:tc>
      </w:tr>
      <w:tr>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Charter Communications</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Breach</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2026-05-26</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[6] BleepingComputer</w:t>
            </w:r>
          </w:p>
        </w:tc>
      </w:tr>
      <w:tr>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GitHub</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Breach</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2026-05-20</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[7] BleepingComputer</w:t>
            </w:r>
          </w:p>
        </w:tc>
      </w:tr>
      <w:tr>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Covenant Health</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Ransomware</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2026-05-26</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[8] BleepingComputer</w:t>
            </w:r>
          </w:p>
        </w:tc>
      </w:tr>
    </w:tbl>
    <w:p>
      <w:pPr>
        <w:jc w:val="left"/>
      </w:pPr>
      <w:r>
        <w:rPr>
          <w:rFonts w:ascii="Arial" w:hAnsi="Arial"/>
          <w:i/>
          <w:color w:val="666666"/>
          <w:sz w:val="14"/>
        </w:rPr>
        <w:t>Table: 4 peer incidents from threat intelligence sources (Intel471, OSINT). Incidents may indicate threat actor targeting patterns or emerging attack vectors.</w:t>
      </w:r>
    </w:p>
    <w:p/>
    <w:p>
      <w:pPr>
        <w:pStyle w:val="Heading1"/>
      </w:pPr>
      <w:r>
        <w:rPr>
          <w:rFonts w:ascii="Arial" w:hAnsi="Arial"/>
          <w:color w:val="FF5C41"/>
          <w:sz w:val="28"/>
        </w:rPr>
        <w:t>Recommended Actions</w:t>
      </w:r>
    </w:p>
    <w:p>
      <w:pPr>
        <w:pStyle w:val="ListBullet"/>
      </w:pPr>
      <w:r>
        <w:rPr>
          <w:b/>
          <w:sz w:val="20"/>
        </w:rPr>
        <w:t>Immediately apply vendor mitigations for CVE-2026-48172 (LiteSpeed cPanel Plugin) and verify systems are updated to version 2.4.7 or later.</w:t>
      </w:r>
    </w:p>
    <w:p>
      <w:pPr>
        <w:pStyle w:val="ListBullet"/>
      </w:pPr>
      <w:r>
        <w:rPr>
          <w:sz w:val="20"/>
        </w:rPr>
        <w:t>Review and restrict access to endpoint management servers (e.g., FortiClient EMS) and monitor for signs of infostealer malware.</w:t>
      </w:r>
    </w:p>
    <w:p>
      <w:pPr>
        <w:pStyle w:val="ListBullet"/>
      </w:pPr>
      <w:r>
        <w:rPr>
          <w:sz w:val="20"/>
        </w:rPr>
        <w:t>Conduct targeted threat hunting for ransomware and data exfiltration activity, focusing on indicators associated with PLUMP SPIDER, STATIC KITTEN, HOOK SPIDER, and TRAVELING SPIDER.</w:t>
      </w:r>
    </w:p>
    <w:p>
      <w:pPr>
        <w:pStyle w:val="ListBullet"/>
      </w:pPr>
      <w:r>
        <w:rPr>
          <w:sz w:val="20"/>
        </w:rPr>
        <w:t>Audit laboratory equipment and IoT devices for vulnerabilities such as CVE-2026-5433 (Honeywell Control Network Module) and ensure firmware is updated.</w:t>
      </w:r>
    </w:p>
    <w:p>
      <w:pPr>
        <w:pStyle w:val="ListBullet"/>
      </w:pPr>
      <w:r>
        <w:rPr>
          <w:sz w:val="20"/>
        </w:rPr>
        <w:t>Enhance monitoring for privilege escalation attempts and unauthorized access, especially in identity management and WordPress platforms.</w:t>
      </w:r>
    </w:p>
    <w:p/>
    <w:p>
      <w:pPr>
        <w:pStyle w:val="Heading1"/>
      </w:pPr>
      <w:r>
        <w:rPr>
          <w:rFonts w:ascii="Arial" w:hAnsi="Arial"/>
          <w:color w:val="FF5C41"/>
          <w:sz w:val="28"/>
        </w:rPr>
        <w:t>Resources &amp; Intelligence Sources</w:t>
      </w:r>
    </w:p>
    <w:p>
      <w:r>
        <w:rPr>
          <w:i/>
          <w:color w:val="666666"/>
          <w:sz w:val="20"/>
        </w:rPr>
        <w:t>This report was compiled using the following intelligence sources:</w:t>
      </w:r>
    </w:p>
    <w:p>
      <w:pPr>
        <w:pStyle w:val="ListBullet"/>
      </w:pPr>
      <w:r>
        <w:rPr>
          <w:b/>
          <w:color w:val="333333"/>
          <w:sz w:val="20"/>
        </w:rPr>
        <w:t xml:space="preserve">[1] </w:t>
      </w:r>
      <w:r>
        <w:rPr>
          <w:sz w:val="20"/>
        </w:rPr>
        <w:t>NIST National Vulnerability Database (NVD)</w:t>
      </w:r>
    </w:p>
    <w:p>
      <w:pPr>
        <w:pStyle w:val="ListBullet"/>
      </w:pPr>
      <w:r>
        <w:rPr>
          <w:b/>
          <w:color w:val="333333"/>
          <w:sz w:val="20"/>
        </w:rPr>
        <w:t xml:space="preserve">[2] </w:t>
      </w:r>
      <w:r>
        <w:rPr>
          <w:sz w:val="20"/>
        </w:rPr>
        <w:t>CISA Known Exploited Vulnerabilities (KEV) Catalog</w:t>
      </w:r>
    </w:p>
    <w:p>
      <w:pPr>
        <w:pStyle w:val="ListBullet"/>
      </w:pPr>
      <w:r>
        <w:rPr>
          <w:b/>
          <w:color w:val="333333"/>
          <w:sz w:val="20"/>
        </w:rPr>
        <w:t xml:space="preserve">[3] </w:t>
      </w:r>
      <w:r>
        <w:rPr>
          <w:sz w:val="20"/>
        </w:rPr>
        <w:t>Intel471 Titan threat intelligence platform</w:t>
      </w:r>
    </w:p>
    <w:p>
      <w:pPr>
        <w:pStyle w:val="ListBullet"/>
      </w:pPr>
      <w:r>
        <w:rPr>
          <w:b/>
          <w:color w:val="333333"/>
          <w:sz w:val="20"/>
        </w:rPr>
        <w:t xml:space="preserve">[4] </w:t>
      </w:r>
      <w:r>
        <w:rPr>
          <w:sz w:val="20"/>
        </w:rPr>
        <w:t>CrowdStrike Falcon Intelligence</w:t>
      </w:r>
    </w:p>
    <w:p/>
    <w:p>
      <w:r>
        <w:rPr>
          <w:b/>
          <w:color w:val="333333"/>
          <w:sz w:val="20"/>
        </w:rPr>
        <w:t>Open Source Intelligence (OSINT) Sources:</w:t>
      </w:r>
    </w:p>
    <w:p>
      <w:pPr>
        <w:pStyle w:val="ListBullet"/>
      </w:pPr>
      <w:r>
        <w:rPr>
          <w:b/>
          <w:color w:val="333333"/>
          <w:sz w:val="16"/>
        </w:rPr>
        <w:t xml:space="preserve">[5] </w:t>
      </w:r>
      <w:hyperlink r:id="rId10">
        <w:r>
          <w:rPr>
            <w:color w:val="0563C1"/>
            <w:u w:val="single"/>
          </w:rPr>
          <w:t>Carnival Breach</w:t>
        </w:r>
      </w:hyperlink>
      <w:r>
        <w:rPr>
          <w:i/>
          <w:color w:val="666666"/>
          <w:sz w:val="16"/>
        </w:rPr>
        <w:t xml:space="preserve"> - Peer incident demonstrating large-scale breach in travel and healthcare sector.</w:t>
      </w:r>
    </w:p>
    <w:p>
      <w:pPr>
        <w:pStyle w:val="ListBullet"/>
      </w:pPr>
      <w:r>
        <w:rPr>
          <w:b/>
          <w:color w:val="333333"/>
          <w:sz w:val="16"/>
        </w:rPr>
        <w:t xml:space="preserve">[6] </w:t>
      </w:r>
      <w:hyperlink r:id="rId11">
        <w:r>
          <w:rPr>
            <w:color w:val="0563C1"/>
            <w:u w:val="single"/>
          </w:rPr>
          <w:t>Charter Breach</w:t>
        </w:r>
      </w:hyperlink>
      <w:r>
        <w:rPr>
          <w:i/>
          <w:color w:val="666666"/>
          <w:sz w:val="16"/>
        </w:rPr>
        <w:t xml:space="preserve"> - Peer incident showing ongoing extortion and breach activity.</w:t>
      </w:r>
    </w:p>
    <w:p>
      <w:pPr>
        <w:pStyle w:val="ListBullet"/>
      </w:pPr>
      <w:r>
        <w:rPr>
          <w:b/>
          <w:color w:val="333333"/>
          <w:sz w:val="16"/>
        </w:rPr>
        <w:t xml:space="preserve">[7] </w:t>
      </w:r>
      <w:hyperlink r:id="rId12">
        <w:r>
          <w:rPr>
            <w:color w:val="0563C1"/>
            <w:u w:val="single"/>
          </w:rPr>
          <w:t>GitHub Breach</w:t>
        </w:r>
      </w:hyperlink>
      <w:r>
        <w:rPr>
          <w:i/>
          <w:color w:val="666666"/>
          <w:sz w:val="16"/>
        </w:rPr>
        <w:t xml:space="preserve"> - Peer incident highlighting risk to code repositories and intellectual property.</w:t>
      </w:r>
    </w:p>
    <w:p>
      <w:pPr>
        <w:pStyle w:val="ListBullet"/>
      </w:pPr>
      <w:r>
        <w:rPr>
          <w:b/>
          <w:color w:val="333333"/>
          <w:sz w:val="16"/>
        </w:rPr>
        <w:t xml:space="preserve">[8] </w:t>
      </w:r>
      <w:hyperlink r:id="rId13">
        <w:r>
          <w:rPr>
            <w:color w:val="0563C1"/>
            <w:u w:val="single"/>
          </w:rPr>
          <w:t>Covenant Health Ransomware</w:t>
        </w:r>
      </w:hyperlink>
      <w:r>
        <w:rPr>
          <w:i/>
          <w:color w:val="666666"/>
          <w:sz w:val="16"/>
        </w:rPr>
        <w:t xml:space="preserve"> - Peer incident showing ransomware impact on healthcare provider.</w:t>
      </w:r>
    </w:p>
    <w:p/>
    <w:p>
      <w:pPr>
        <w:jc w:val="center"/>
      </w:pPr>
      <w:r>
        <w:rPr>
          <w:b/>
          <w:sz w:val="20"/>
        </w:rPr>
        <w:t>Questions or suspicious activity: secops@illumina.com | ServiceNow</w:t>
      </w:r>
    </w:p>
    <w:p/>
    <w:sectPr w:rsidR="00FC693F" w:rsidRPr="0006063C" w:rsidSect="00034616">
      <w:background w:color="FFFFFF"/>
      <w:pgPr>
        <w:vAlign w:val="top"/>
      </w:pgPr>
      <w:headerReference w:type="default" r:id="rId9"/>
      <w:pgSz w:w="12240" w:h="15840"/>
      <w:pgMar w:top="1800" w:right="1080" w:bottom="1267"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687772"/>
          <wp:docPr id="1" name="Picture 1"/>
          <wp:cNvGraphicFramePr>
            <a:graphicFrameLocks noChangeAspect="1"/>
          </wp:cNvGraphicFramePr>
          <a:graphic>
            <a:graphicData uri="http://schemas.openxmlformats.org/drawingml/2006/picture">
              <pic:pic>
                <pic:nvPicPr>
                  <pic:cNvPr id="0" name="Bulletin_banner.jpg"/>
                  <pic:cNvPicPr/>
                </pic:nvPicPr>
                <pic:blipFill>
                  <a:blip r:embed="rId1"/>
                  <a:stretch>
                    <a:fillRect/>
                  </a:stretch>
                </pic:blipFill>
                <pic:spPr>
                  <a:xfrm>
                    <a:off x="0" y="0"/>
                    <a:ext cx="6400800" cy="687772"/>
                  </a:xfrm>
                  <a:prstGeom prst="rect"/>
                </pic:spPr>
              </pic:pic>
            </a:graphicData>
          </a:graphic>
        </wp:inline>
      </w:drawing>
    </w:r>
  </w:p>
  <w:p>
    <w:pPr>
      <w:spacing w:before="40" w:after="0"/>
      <w:jc w:val="right"/>
    </w:pPr>
    <w:r>
      <w:rPr>
        <w:rFonts w:ascii="Consolas" w:hAnsi="Consolas"/>
        <w:color w:val="B0B0B0"/>
        <w:sz w:val="16"/>
      </w:rPr>
      <w:t>CTI-WK-2026-22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color w:val="33333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6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6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bleepingcomputer.com/news/security/carnival-cruise-confirms-data-breach-affecting-nearly-6-million-people/" TargetMode="External"/><Relationship Id="rId11" Type="http://schemas.openxmlformats.org/officeDocument/2006/relationships/hyperlink" Target="https://www.bleepingcomputer.com/news/security/charter-confirms-data-breach-after-shinyhunters-extortion-threat/" TargetMode="External"/><Relationship Id="rId12" Type="http://schemas.openxmlformats.org/officeDocument/2006/relationships/hyperlink" Target="https://www.bleepingcomputer.com/news/security/github-breach-2026-poisoned-vs-code-extension-stole-3800-internal-repositories/" TargetMode="External"/><Relationship Id="rId13" Type="http://schemas.openxmlformats.org/officeDocument/2006/relationships/hyperlink" Target="https://www.bleepingcomputer.com/news/security/qilin-hit-covenant-health-hospitals-for-480k-recor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