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666666"/>
          <w:sz w:val="18"/>
        </w:rPr>
        <w:t>CTI-QTR-2026-Q3</w:t>
      </w:r>
    </w:p>
    <w:p>
      <w:pPr>
        <w:spacing w:after="0"/>
        <w:jc w:val="center"/>
      </w:pPr>
      <w:r>
        <w:rPr>
          <w:rFonts w:ascii="Arial" w:hAnsi="Arial"/>
          <w:b/>
          <w:color w:val="E65100"/>
          <w:sz w:val="40"/>
        </w:rPr>
        <w:t>Quarterly Strategic Brief</w:t>
      </w:r>
    </w:p>
    <w:p>
      <w:pPr>
        <w:pStyle w:val="Subtitle"/>
        <w:spacing w:after="0"/>
        <w:jc w:val="center"/>
      </w:pPr>
      <w:r>
        <w:rPr>
          <w:rFonts w:ascii="Arial" w:hAnsi="Arial"/>
          <w:color w:val="555555"/>
        </w:rPr>
        <w:t>90-Day Lookback | May 17 to August 15, 2026</w:t>
      </w:r>
    </w:p>
    <w:p>
      <w:pPr>
        <w:spacing w:after="120"/>
      </w:pPr>
    </w:p>
    <w:p>
      <w:pPr>
        <w:pStyle w:val="Heading1"/>
        <w:spacing w:after="120"/>
      </w:pPr>
      <w:r>
        <w:rPr>
          <w:rFonts w:ascii="Arial" w:hAnsi="Arial"/>
          <w:color w:val="E65100"/>
          <w:sz w:val="28"/>
        </w:rPr>
        <w:t>Executive Summary</w:t>
      </w:r>
    </w:p>
    <w:p>
      <w:r>
        <w:rPr>
          <w:rFonts w:ascii="Arial" w:hAnsi="Arial"/>
          <w:sz w:val="21"/>
        </w:rPr>
        <w:t>The threat landscape for Q3 2026 showed notable changes...</w:t>
      </w:r>
    </w:p>
    <w:p>
      <w:pPr>
        <w:spacing w:after="120"/>
      </w:pPr>
    </w:p>
    <w:p>
      <w:pPr>
        <w:pStyle w:val="Heading1"/>
        <w:spacing w:before="240" w:after="120"/>
      </w:pPr>
      <w:r>
        <w:rPr>
          <w:rFonts w:ascii="Arial" w:hAnsi="Arial"/>
          <w:color w:val="E65100"/>
          <w:sz w:val="28"/>
        </w:rPr>
        <w:t>Quarterly Risk Assessment</w:t>
      </w:r>
    </w:p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EE2E2" w:val="clear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33333"/>
                <w:sz w:val="20"/>
              </w:rPr>
              <w:t>Nation-State Espionage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991B1B"/>
                <w:sz w:val="40"/>
              </w:rPr>
              <w:t>HIGH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i/>
                <w:color w:val="666666"/>
                <w:sz w:val="16"/>
              </w:rPr>
              <w:t>vs Q2: Unchanged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EE2E2" w:val="clear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33333"/>
                <w:sz w:val="20"/>
              </w:rPr>
              <w:t>Ransomware &amp; Extortion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991B1B"/>
                <w:sz w:val="40"/>
              </w:rPr>
              <w:t>HIGH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i/>
                <w:color w:val="666666"/>
                <w:sz w:val="16"/>
              </w:rPr>
              <w:t>vs Q2: Unchanged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EF3C7" w:val="clear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33333"/>
                <w:sz w:val="20"/>
              </w:rPr>
              <w:t>Supply Chain Compromise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92400E"/>
                <w:sz w:val="40"/>
              </w:rPr>
              <w:t>MEDIUM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i/>
                <w:color w:val="666666"/>
                <w:sz w:val="16"/>
              </w:rPr>
              <w:t>vs Q2: Unchanged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D1FAE5" w:val="clear" w:color="auto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33333"/>
                <w:sz w:val="20"/>
              </w:rPr>
              <w:t>Insider Threat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65F46"/>
                <w:sz w:val="40"/>
              </w:rPr>
              <w:t>LOW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i/>
                <w:color w:val="666666"/>
                <w:sz w:val="16"/>
              </w:rPr>
              <w:t>vs Q2: Unchanged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rPr>
          <w:rFonts w:ascii="Arial" w:hAnsi="Arial"/>
          <w:color w:val="E65100"/>
          <w:sz w:val="28"/>
        </w:rPr>
        <w:t>Geopolitical Threat Landscape</w:t>
      </w:r>
    </w:p>
    <w:p>
      <w:pPr>
        <w:keepNext/>
      </w:pPr>
      <w:r>
        <w:rPr>
          <w:rFonts w:ascii="Arial" w:hAnsi="Arial"/>
          <w:i/>
          <w:color w:val="666666"/>
          <w:sz w:val="18"/>
        </w:rPr>
        <w:t>Nation-state activity assessed for direct relevance to Illumina's assets, operations, and competitive position — Q3 2026.</w:t>
      </w:r>
    </w:p>
    <w:p>
      <w:pPr>
        <w:spacing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1"/>
        </w:trPr>
        <w:tc>
          <w:tcPr>
            <w:tcW w:type="dxa" w:w="9360"/>
            <w:shd w:fill="1E2D3D" w:val="clear" w:color="auto"/>
            <w:tcBorders>
              <w:top w:val="single" w:sz="4" w:color="1E2D3D"/>
              <w:left w:val="single" w:sz="4" w:color="1E2D3D"/>
              <w:right w:val="single" w:sz="4" w:color="1E2D3D"/>
              <w:bottom w:val="single" w:sz="4" w:color="1E2D3D"/>
            </w:tcBorders>
            <w:tcMar>
              <w:top w:w="100" w:type="dxa"/>
              <w:bottom w:w="100" w:type="dxa"/>
              <w:left w:w="100" w:type="dxa"/>
              <w:right w:w="80" w:type="dxa"/>
            </w:tcMar>
          </w:tcPr>
          <w:p>
            <w:pPr>
              <w:spacing w:after="6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China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8899AA"/>
                <w:sz w:val="14"/>
              </w:rPr>
              <w:t xml:space="preserve">THREAT LEVEL  </w:t>
            </w:r>
            <w:r>
              <w:rPr>
                <w:rFonts w:ascii="Arial" w:hAnsi="Arial"/>
                <w:b/>
                <w:color w:val="FF6B6B"/>
                <w:sz w:val="18"/>
              </w:rPr>
              <w:t>HIGH</w:t>
            </w:r>
          </w:p>
        </w:tc>
      </w:tr>
      <w:tr>
        <w:trPr>
          <w:cantSplit w:val="1"/>
        </w:trPr>
        <w:tc>
          <w:tcPr>
            <w:tcW w:type="dxa" w:w="9360"/>
            <w:shd w:fill="F8FAFC" w:val="clear" w:color="auto"/>
            <w:tcBorders>
              <w:top w:val="single" w:sz="4" w:color="F8FAFC"/>
              <w:left w:val="single" w:sz="4" w:color="F8FAFC"/>
              <w:right w:val="single" w:sz="4" w:color="F8FAFC"/>
              <w:bottom w:val="single" w:sz="4" w:color="F8FAFC"/>
            </w:tcBorders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6B7280"/>
                <w:sz w:val="15"/>
              </w:rPr>
              <w:t xml:space="preserve">Primary vector  </w:t>
            </w:r>
            <w:r>
              <w:rPr>
                <w:rFonts w:ascii="Arial" w:hAnsi="Arial"/>
                <w:b w:val="0"/>
                <w:color w:val="1A202C"/>
                <w:sz w:val="15"/>
              </w:rPr>
              <w:t>Multiple vectors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5"/>
              </w:rPr>
              <w:t xml:space="preserve">Illumina exposure  </w:t>
            </w:r>
            <w:r>
              <w:rPr>
                <w:rFonts w:ascii="Arial" w:hAnsi="Arial"/>
                <w:b/>
                <w:color w:val="92400E"/>
                <w:sz w:val="15"/>
              </w:rPr>
              <w:t>MEDIUM</w:t>
            </w:r>
          </w:p>
        </w:tc>
      </w:tr>
      <w:tr>
        <w:trPr>
          <w:cantSplit w:val="1"/>
        </w:trPr>
        <w:tc>
          <w:tcPr>
            <w:tcW w:type="dxa" w:w="9360"/>
            <w:shd w:fill="FFFFFF" w:val="clear" w:color="auto"/>
            <w:tcBorders>
              <w:top w:val="single" w:sz="4" w:color="FFFFFF"/>
              <w:left w:val="single" w:sz="4" w:color="FFFFFF"/>
              <w:right w:val="single" w:sz="4" w:color="FFFFFF"/>
              <w:bottom w:val="single" w:sz="4" w:color="FFFFFF"/>
            </w:tcBorders>
            <w:tcMar>
              <w:top w:w="80" w:type="dxa"/>
              <w:bottom w:w="80" w:type="dxa"/>
              <w:left w:w="100" w:type="dxa"/>
              <w:right w:w="8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E65100"/>
                <w:sz w:val="14"/>
              </w:rPr>
              <w:t>RELEVANCE TO ILLUMINA</w:t>
            </w:r>
          </w:p>
          <w:p>
            <w:pPr>
              <w:spacing w:after="40"/>
            </w:pPr>
            <w:r>
              <w:rPr>
                <w:rFonts w:ascii="Arial" w:hAnsi="Arial"/>
                <w:color w:val="1A202C"/>
                <w:sz w:val="15"/>
              </w:rPr>
              <w:t>•  Test relevance</w:t>
            </w:r>
          </w:p>
        </w:tc>
      </w:tr>
      <w:tr>
        <w:trPr>
          <w:cantSplit w:val="1"/>
        </w:trPr>
        <w:tc>
          <w:tcPr>
            <w:tcW w:type="dxa" w:w="9360"/>
            <w:shd w:fill="F3F4F6" w:val="clear" w:color="auto"/>
            <w:tcBorders>
              <w:top w:val="single" w:sz="4" w:color="F3F4F6"/>
              <w:left w:val="single" w:sz="4" w:color="F3F4F6"/>
              <w:right w:val="single" w:sz="4" w:color="F3F4F6"/>
              <w:bottom w:val="single" w:sz="4" w:color="F3F4F6"/>
            </w:tcBorders>
            <w:tcMar>
              <w:top w:w="80" w:type="dxa"/>
              <w:bottom w:w="80" w:type="dxa"/>
              <w:left w:w="100" w:type="dxa"/>
              <w:right w:w="8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E65100"/>
                <w:sz w:val="14"/>
              </w:rPr>
              <w:t>Q3 ACTIVITY</w:t>
            </w:r>
          </w:p>
          <w:p>
            <w:pPr>
              <w:spacing w:after="40"/>
            </w:pPr>
            <w:r>
              <w:rPr>
                <w:rFonts w:ascii="Arial" w:hAnsi="Arial"/>
                <w:color w:val="1A202C"/>
                <w:sz w:val="15"/>
              </w:rPr>
              <w:t>•  Test activity</w:t>
            </w:r>
          </w:p>
        </w:tc>
      </w:tr>
      <w:tr>
        <w:trPr>
          <w:cantSplit w:val="1"/>
        </w:trPr>
        <w:tc>
          <w:tcPr>
            <w:tcW w:type="dxa" w:w="9360"/>
            <w:shd w:fill="FFFFFF" w:val="clear" w:color="auto"/>
            <w:tcBorders>
              <w:top w:val="single" w:sz="4" w:color="FFFFFF"/>
              <w:left w:val="single" w:sz="4" w:color="FFFFFF"/>
              <w:right w:val="single" w:sz="4" w:color="FFFFFF"/>
              <w:bottom w:val="single" w:sz="4" w:color="FFFFFF"/>
            </w:tcBorders>
            <w:tcMar>
              <w:top w:w="80" w:type="dxa"/>
              <w:bottom w:w="80" w:type="dxa"/>
              <w:left w:w="100" w:type="dxa"/>
              <w:right w:w="8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E65100"/>
                <w:sz w:val="14"/>
              </w:rPr>
              <w:t>RISK TO ILLUMINA</w:t>
            </w:r>
          </w:p>
          <w:p>
            <w:pPr>
              <w:spacing w:after="40"/>
            </w:pPr>
            <w:r>
              <w:rPr>
                <w:rFonts w:ascii="Arial" w:hAnsi="Arial"/>
                <w:color w:val="1A202C"/>
                <w:sz w:val="15"/>
              </w:rPr>
              <w:t>•  Test risk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rPr>
          <w:rFonts w:ascii="Arial" w:hAnsi="Arial"/>
          <w:color w:val="E65100"/>
          <w:sz w:val="28"/>
        </w:rPr>
        <w:t>Industry Breach Landscape</w:t>
      </w:r>
    </w:p>
    <w:p>
      <w:pPr>
        <w:spacing w:before="0" w:after="120"/>
      </w:pPr>
      <w:r>
        <w:rPr>
          <w:rFonts w:ascii="Arial" w:hAnsi="Arial"/>
          <w:i/>
          <w:color w:val="6B7280"/>
          <w:sz w:val="18"/>
        </w:rPr>
        <w:t>Q3 2026 analysis</w:t>
      </w:r>
    </w:p>
    <w:p>
      <w:pPr>
        <w:spacing w:after="120"/>
      </w:pPr>
    </w:p>
    <w:p>
      <w:pPr>
        <w:spacing w:after="120"/>
      </w:pPr>
    </w:p>
    <w:p>
      <w:pPr>
        <w:spacing w:before="200" w:after="80"/>
      </w:pPr>
      <w:r>
        <w:rPr>
          <w:rFonts w:ascii="Arial" w:hAnsi="Arial"/>
          <w:b/>
          <w:color w:val="E65100"/>
          <w:sz w:val="22"/>
        </w:rPr>
        <w:t>Incidents by Type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2"/>
        <w:gridCol w:w="1195"/>
        <w:gridCol w:w="1195"/>
        <w:gridCol w:w="4968"/>
      </w:tblGrid>
      <w:tr>
        <w:tc>
          <w:tcPr>
            <w:tcW w:type="dxa" w:w="2520"/>
            <w:shd w:fill="E65100" w:val="clear" w:color="auto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Incident Type</w:t>
            </w:r>
          </w:p>
        </w:tc>
        <w:tc>
          <w:tcPr>
            <w:tcW w:type="dxa" w:w="2520"/>
            <w:shd w:fill="E65100" w:val="clear" w:color="auto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Q3 2026</w:t>
            </w:r>
          </w:p>
        </w:tc>
        <w:tc>
          <w:tcPr>
            <w:tcW w:type="dxa" w:w="2520"/>
            <w:shd w:fill="E65100" w:val="clear" w:color="auto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Q2 2026</w:t>
            </w:r>
          </w:p>
        </w:tc>
        <w:tc>
          <w:tcPr>
            <w:tcW w:type="dxa" w:w="2520"/>
            <w:shd w:fill="E65100" w:val="clear" w:color="auto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Notable Example</w:t>
            </w:r>
          </w:p>
        </w:tc>
      </w:tr>
      <w:tr>
        <w:tc>
          <w:tcPr>
            <w:tcW w:type="dxa" w:w="2520"/>
            <w:shd w:fill="FFFFFF" w:val="clear" w:color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Ransomware</w:t>
            </w:r>
          </w:p>
        </w:tc>
        <w:tc>
          <w:tcPr>
            <w:tcW w:type="dxa" w:w="2520"/>
            <w:shd w:fill="FFFFFF" w:val="clear" w:color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8"/>
              </w:rPr>
              <w:t>22</w:t>
            </w:r>
          </w:p>
        </w:tc>
        <w:tc>
          <w:tcPr>
            <w:tcW w:type="dxa" w:w="2520"/>
            <w:shd w:fill="FFFFFF" w:val="clear" w:color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18</w:t>
            </w:r>
          </w:p>
        </w:tc>
        <w:tc>
          <w:tcPr>
            <w:tcW w:type="dxa" w:w="2520"/>
            <w:shd w:fill="FFFFFF" w:val="clear" w:color="auto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6B728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rFonts w:ascii="Arial" w:hAnsi="Arial"/>
          <w:b/>
          <w:color w:val="E65100"/>
          <w:sz w:val="22"/>
        </w:rPr>
        <w:t>Common Factors Across Incidents</w:t>
      </w:r>
    </w:p>
    <w:p>
      <w:pPr>
        <w:spacing w:after="120"/>
      </w:pPr>
      <w:r>
        <w:rPr>
          <w:rFonts w:ascii="Arial" w:hAnsi="Arial"/>
          <w:b w:val="0"/>
          <w:color w:val="111827"/>
          <w:sz w:val="20"/>
        </w:rPr>
        <w:t>Test factors</w:t>
      </w:r>
    </w:p>
    <w:p>
      <w:pPr>
        <w:spacing w:after="120"/>
      </w:pPr>
    </w:p>
    <w:p>
      <w:pPr>
        <w:pStyle w:val="Heading1"/>
        <w:spacing w:before="240" w:after="120"/>
      </w:pPr>
      <w:r>
        <w:rPr>
          <w:rFonts w:ascii="Arial" w:hAnsi="Arial"/>
          <w:color w:val="E65100"/>
          <w:sz w:val="28"/>
        </w:rPr>
        <w:t>Looking Ahead: Q4 2026</w:t>
      </w:r>
    </w:p>
    <w:p>
      <w:pPr>
        <w:spacing w:before="120" w:after="40"/>
      </w:pPr>
      <w:r>
        <w:rPr>
          <w:rFonts w:ascii="Arial" w:hAnsi="Arial"/>
          <w:b/>
          <w:color w:val="000000"/>
          <w:sz w:val="22"/>
        </w:rPr>
        <w:t>Specific Watch Items</w:t>
      </w:r>
    </w:p>
    <w:p>
      <w:pPr>
        <w:spacing w:before="0" w:after="120"/>
      </w:pPr>
      <w:r>
        <w:rPr>
          <w:rFonts w:ascii="Arial" w:hAnsi="Arial"/>
          <w:i/>
          <w:color w:val="6B7280"/>
          <w:sz w:val="18"/>
        </w:rPr>
        <w:t>Named, specific items — not generic monitoring reminders.</w:t>
      </w:r>
    </w:p>
    <w:p>
      <w:pPr>
        <w:pStyle w:val="ListNumber"/>
        <w:spacing w:after="80"/>
      </w:pPr>
      <w:r>
        <w:rPr>
          <w:rFonts w:ascii="Arial" w:hAnsi="Arial"/>
          <w:b/>
          <w:color w:val="1E40AF"/>
          <w:sz w:val="20"/>
        </w:rPr>
        <w:t>Test Subject</w:t>
      </w:r>
      <w:r>
        <w:rPr>
          <w:rFonts w:ascii="Arial" w:hAnsi="Arial"/>
          <w:b w:val="0"/>
          <w:color w:val="000000"/>
          <w:sz w:val="20"/>
        </w:rPr>
        <w:t xml:space="preserve"> Test detail</w:t>
      </w:r>
    </w:p>
    <w:p>
      <w:pPr>
        <w:spacing w:after="120"/>
      </w:pPr>
    </w:p>
    <w:p>
      <w:pPr>
        <w:pStyle w:val="Heading1"/>
        <w:spacing w:before="240" w:after="120"/>
      </w:pPr>
      <w:r>
        <w:rPr>
          <w:rFonts w:ascii="Arial" w:hAnsi="Arial"/>
          <w:color w:val="E65100"/>
          <w:sz w:val="28"/>
        </w:rPr>
        <w:t>Recommendations</w:t>
      </w:r>
    </w:p>
    <w:p>
      <w:pPr>
        <w:spacing w:before="0" w:after="120"/>
      </w:pPr>
      <w:r>
        <w:rPr>
          <w:rFonts w:ascii="Arial" w:hAnsi="Arial"/>
          <w:i/>
          <w:color w:val="6B7280"/>
          <w:sz w:val="18"/>
        </w:rPr>
        <w:t>Test intro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FF3E0" w:val="clear" w:color="auto"/>
            <w:tcBorders>
              <w:left w:val="single" w:sz="18" w:color="E65100"/>
              <w:top w:val="single" w:sz="4" w:color="D1D5DB"/>
              <w:right w:val="single" w:sz="4" w:color="D1D5DB"/>
              <w:bottom w:val="single" w:sz="4" w:color="D1D5DB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color w:val="E65100"/>
                <w:sz w:val="22"/>
                <w:u w:val="none"/>
              </w:rPr>
              <w:t xml:space="preserve">1.  </w:t>
            </w:r>
            <w:r>
              <w:rPr>
                <w:rFonts w:ascii="Arial" w:hAnsi="Arial"/>
                <w:b/>
                <w:color w:val="E65100"/>
                <w:sz w:val="22"/>
                <w:u w:val="single"/>
              </w:rPr>
              <w:t>Test</w:t>
            </w:r>
            <w:r>
              <w:rPr>
                <w:rFonts w:ascii="Arial" w:hAnsi="Arial"/>
                <w:b/>
                <w:color w:val="E65100"/>
                <w:sz w:val="22"/>
                <w:u w:val="none"/>
              </w:rPr>
              <w:t xml:space="preserve"> Rec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0"/>
              </w:rPr>
              <w:t>Test body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hAnsi="Arial"/>
          <w:color w:val="E65100"/>
          <w:sz w:val="28"/>
        </w:rPr>
        <w:t>Sources</w:t>
      </w:r>
    </w:p>
    <w:p>
      <w:pPr>
        <w:pStyle w:val="ListBullet"/>
      </w:pPr>
      <w:r>
        <w:rPr>
          <w:rFonts w:ascii="Arial" w:hAnsi="Arial"/>
          <w:b/>
          <w:sz w:val="20"/>
        </w:rPr>
        <w:t>CrowdStrike Falcon Intelligence</w:t>
      </w:r>
      <w:r>
        <w:rPr>
          <w:rFonts w:ascii="Arial" w:hAnsi="Arial"/>
          <w:color w:val="666666"/>
          <w:sz w:val="20"/>
        </w:rPr>
        <w:t xml:space="preserve"> — Threat actor profiles, APT campaigns, and adversary tracking</w:t>
      </w:r>
    </w:p>
    <w:p>
      <w:pPr>
        <w:pStyle w:val="ListBullet"/>
      </w:pPr>
      <w:r>
        <w:rPr>
          <w:rFonts w:ascii="Arial" w:hAnsi="Arial"/>
          <w:b/>
          <w:sz w:val="20"/>
        </w:rPr>
        <w:t>Intel471 Titan</w:t>
      </w:r>
      <w:r>
        <w:rPr>
          <w:rFonts w:ascii="Arial" w:hAnsi="Arial"/>
          <w:color w:val="666666"/>
          <w:sz w:val="20"/>
        </w:rPr>
        <w:t xml:space="preserve"> — Underground threat intelligence, breach reporting, and actor monitoring</w:t>
      </w:r>
    </w:p>
    <w:p>
      <w:pPr>
        <w:pStyle w:val="ListBullet"/>
      </w:pPr>
      <w:r>
        <w:rPr>
          <w:rFonts w:ascii="Arial" w:hAnsi="Arial"/>
          <w:b/>
          <w:sz w:val="20"/>
        </w:rPr>
        <w:t>NIST National Vulnerability Database (NVD)</w:t>
      </w:r>
      <w:r>
        <w:rPr>
          <w:rFonts w:ascii="Arial" w:hAnsi="Arial"/>
          <w:color w:val="666666"/>
          <w:sz w:val="20"/>
        </w:rPr>
        <w:t xml:space="preserve">  https://nvd.nist.gov/</w:t>
      </w:r>
    </w:p>
    <w:p>
      <w:pPr>
        <w:pStyle w:val="ListBullet"/>
      </w:pPr>
      <w:r>
        <w:rPr>
          <w:rFonts w:ascii="Arial" w:hAnsi="Arial"/>
          <w:b/>
          <w:sz w:val="20"/>
        </w:rPr>
        <w:t>CISA Known Exploited Vulnerabilities (KEV) Catalog</w:t>
      </w:r>
      <w:r>
        <w:rPr>
          <w:rFonts w:ascii="Arial" w:hAnsi="Arial"/>
          <w:color w:val="666666"/>
          <w:sz w:val="20"/>
        </w:rPr>
        <w:t xml:space="preserve">  https://www.cisa.gov/known-exploited-vulnerabilities-catalog</w:t>
      </w:r>
    </w:p>
    <w:p>
      <w:pPr>
        <w:pStyle w:val="ListBullet"/>
      </w:pPr>
      <w:r>
        <w:rPr>
          <w:rFonts w:ascii="Arial" w:hAnsi="Arial"/>
          <w:b/>
          <w:sz w:val="20"/>
        </w:rPr>
        <w:t>HHS Breach Portal</w:t>
      </w:r>
      <w:r>
        <w:rPr>
          <w:rFonts w:ascii="Arial" w:hAnsi="Arial"/>
          <w:color w:val="666666"/>
          <w:sz w:val="20"/>
        </w:rPr>
        <w:t xml:space="preserve">  https://ocrportal.hhs.gov/ocr/breach/breach_report.jsf</w:t>
      </w:r>
    </w:p>
    <w:p>
      <w:pPr>
        <w:pStyle w:val="ListBullet"/>
      </w:pPr>
      <w:r>
        <w:rPr>
          <w:rFonts w:ascii="Arial" w:hAnsi="Arial"/>
          <w:b/>
          <w:sz w:val="20"/>
        </w:rPr>
        <w:t>FBI Internet Crime Complaint Center (IC3)</w:t>
      </w:r>
      <w:r>
        <w:rPr>
          <w:rFonts w:ascii="Arial" w:hAnsi="Arial"/>
          <w:color w:val="666666"/>
          <w:sz w:val="20"/>
        </w:rPr>
        <w:t xml:space="preserve">  https://www.ic3.gov/</w:t>
      </w:r>
    </w:p>
    <w:p>
      <w:pPr>
        <w:pStyle w:val="ListBullet"/>
      </w:pPr>
      <w:r>
        <w:rPr>
          <w:rFonts w:ascii="Arial" w:hAnsi="Arial"/>
          <w:b/>
          <w:sz w:val="20"/>
        </w:rPr>
        <w:t>Illumina Public Disclosures</w:t>
      </w:r>
      <w:r>
        <w:rPr>
          <w:rFonts w:ascii="Arial" w:hAnsi="Arial"/>
          <w:color w:val="666666"/>
          <w:sz w:val="20"/>
        </w:rPr>
        <w:t xml:space="preserve"> — SEC EDGAR filings, investor relations updates, and company news releases</w:t>
      </w:r>
    </w:p>
    <w:p>
      <w:pPr>
        <w:pStyle w:val="ListBullet"/>
      </w:pPr>
      <w:r>
        <w:rPr>
          <w:rFonts w:ascii="Arial" w:hAnsi="Arial"/>
          <w:b/>
          <w:sz w:val="20"/>
        </w:rPr>
        <w:t>SEC EDGAR Filings</w:t>
      </w:r>
      <w:r>
        <w:rPr>
          <w:rFonts w:ascii="Arial" w:hAnsi="Arial"/>
          <w:color w:val="666666"/>
          <w:sz w:val="20"/>
        </w:rPr>
        <w:t xml:space="preserve">  https://www.sec.gov/cgi-bin/browse-edgar</w:t>
      </w:r>
    </w:p>
    <w:p>
      <w:pPr>
        <w:pStyle w:val="ListBullet"/>
      </w:pPr>
      <w:r>
        <w:rPr>
          <w:rFonts w:ascii="Arial" w:hAnsi="Arial"/>
          <w:b/>
          <w:sz w:val="20"/>
        </w:rPr>
        <w:t>MITRE ATT&amp;CK</w:t>
      </w:r>
      <w:r>
        <w:rPr>
          <w:rFonts w:ascii="Arial" w:hAnsi="Arial"/>
          <w:color w:val="666666"/>
          <w:sz w:val="20"/>
        </w:rPr>
        <w:t xml:space="preserve">  https://attack.mitre.org/</w:t>
      </w:r>
    </w:p>
    <w:p>
      <w:pPr>
        <w:pStyle w:val="ListBullet"/>
      </w:pPr>
      <w:r>
        <w:rPr>
          <w:rFonts w:ascii="Arial" w:hAnsi="Arial"/>
          <w:b/>
          <w:sz w:val="20"/>
        </w:rPr>
        <w:t>Open Source Intelligence (OSINT)</w:t>
      </w:r>
      <w:r>
        <w:rPr>
          <w:rFonts w:ascii="Arial" w:hAnsi="Arial"/>
          <w:color w:val="666666"/>
          <w:sz w:val="20"/>
        </w:rPr>
        <w:t xml:space="preserve"> — Industry publications, state AG notifications, and vendor advisories</w:t>
      </w:r>
    </w:p>
    <w:p>
      <w:pPr>
        <w:spacing w:after="120"/>
      </w:pPr>
    </w:p>
    <w:p>
      <w:pPr>
        <w:jc w:val="left"/>
      </w:pPr>
      <w:r>
        <w:rPr>
          <w:rFonts w:ascii="Arial" w:hAnsi="Arial"/>
          <w:b/>
          <w:color w:val="555555"/>
          <w:sz w:val="20"/>
          <w:u w:val="none"/>
        </w:rPr>
        <w:t>Questions or suspicious activity: secops@illumina.com | ServiceNow</w:t>
      </w:r>
    </w:p>
    <w:p>
      <w:pPr>
        <w:spacing w:after="120"/>
      </w:pPr>
    </w:p>
    <w:sectPr w:rsidR="00FC693F" w:rsidRPr="0006063C" w:rsidSect="00034616">
      <w:pgPr>
        <w:vAlign w:val="top"/>
      </w:pgPr>
      <w:headerReference w:type="default" r:id="rId9"/>
      <w:footerReference w:type="default" r:id="rId10"/>
      <w:pgSz w:w="12240" w:h="15840"/>
      <w:pgMar w:top="1800" w:right="1080" w:bottom="1267" w:left="108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i/>
        <w:color w:val="999999"/>
        <w:sz w:val="16"/>
      </w:rPr>
      <w:t xml:space="preserve">TLP: </w:t>
    </w:r>
    <w:r>
      <w:rPr>
        <w:rFonts w:ascii="Arial" w:hAnsi="Arial"/>
        <w:i/>
        <w:color w:val="E65100"/>
        <w:sz w:val="16"/>
      </w:rPr>
      <w:t>AMBER+</w:t>
    </w:r>
    <w:r>
      <w:rPr>
        <w:rFonts w:ascii="Arial" w:hAnsi="Arial"/>
        <w:i/>
        <w:color w:val="E65100"/>
        <w:sz w:val="16"/>
        <w:u w:val="none"/>
      </w:rPr>
      <w:t>STRICT</w:t>
    </w:r>
    <w:r>
      <w:rPr>
        <w:rFonts w:ascii="Arial" w:hAnsi="Arial"/>
        <w:i/>
        <w:color w:val="999999"/>
        <w:sz w:val="16"/>
      </w:rPr>
      <w:t xml:space="preserve"> | </w:t>
    </w:r>
    <w:r>
      <w:rPr>
        <w:rFonts w:ascii="Arial" w:hAnsi="Arial"/>
        <w:i/>
        <w:color w:val="999999"/>
        <w:sz w:val="16"/>
      </w:rPr>
      <w:t>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6877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ulletin_banne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68777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6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6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6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