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February 27 to May 28, 2026</w:t>
      </w:r>
    </w:p>
    <w:p>
      <w:pPr>
        <w:spacing w:after="120"/>
      </w:pPr>
    </w:p>
    <w:p>
      <w:pPr>
        <w:pStyle w:val="Heading1"/>
        <w:spacing w:after="120"/>
      </w:pPr>
      <w:r>
        <w:rPr>
          <w:rFonts w:ascii="Arial" w:hAnsi="Arial"/>
          <w:color w:val="E65100"/>
          <w:sz w:val="28"/>
        </w:rPr>
        <w:t>Executive Summary</w:t>
      </w:r>
    </w:p>
    <w:p>
      <w:r>
        <w:rPr>
          <w:rFonts w:ascii="Arial" w:hAnsi="Arial"/>
          <w:sz w:val="21"/>
        </w:rPr>
        <w:t>The threat landscape for the genomics, life sciences, and precision manufacturing sectors remained elevated throughout Q1 2026, with 47 publicly disclosed breaches affecting peer organizations in the industry. Estimated aggregate impact exceeded $127M in direct costs and regulatory penalties.</w:t>
      </w:r>
    </w:p>
    <w:p>
      <w:r>
        <w:rPr>
          <w:rFonts w:ascii="Arial" w:hAnsi="Arial"/>
          <w:sz w:val="21"/>
        </w:rPr>
        <w:t>No direct threats to the organization were identified this quarter; however, the threat actors, techniques, and vulnerabilities observed are consistent with those historically used against genomics companies. Nation-state espionage activity, particularly from China-linked actors, showed increased focus on biomanufacturing IP and clinical trial data.</w:t>
      </w:r>
    </w:p>
    <w:p>
      <w:pPr>
        <w:spacing w:after="120"/>
      </w:pPr>
    </w:p>
    <w:p>
      <w:pPr>
        <w:pStyle w:val="Heading1"/>
        <w:spacing w:before="240" w:after="120"/>
      </w:pPr>
      <w:r>
        <w:rPr>
          <w:rFonts w:ascii="Arial" w:hAnsi="Arial"/>
          <w:color w:val="E65100"/>
          <w:sz w:val="28"/>
        </w:rPr>
        <w:t>Quarterly Risk Assessment</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Nation-State Espionage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Ransomware &amp; Extortion</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F3C7"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Supply Chain Compromise</w:t>
            </w:r>
          </w:p>
          <w:p>
            <w:pPr>
              <w:spacing w:before="0" w:after="0"/>
              <w:jc w:val="center"/>
            </w:pPr>
            <w:r>
              <w:rPr>
                <w:rFonts w:ascii="Arial" w:hAnsi="Arial"/>
                <w:b/>
                <w:color w:val="92400E"/>
                <w:sz w:val="40"/>
              </w:rPr>
              <w:t>MEDIUM</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D1FAE5"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Insider Threat</w:t>
            </w:r>
          </w:p>
          <w:p>
            <w:pPr>
              <w:spacing w:before="0" w:after="0"/>
              <w:jc w:val="center"/>
            </w:pPr>
            <w:r>
              <w:rPr>
                <w:rFonts w:ascii="Arial" w:hAnsi="Arial"/>
                <w:b/>
                <w:color w:val="065F46"/>
                <w:sz w:val="40"/>
              </w:rPr>
              <w:t>LOW</w:t>
            </w:r>
          </w:p>
          <w:p>
            <w:pPr>
              <w:spacing w:before="0" w:after="0"/>
              <w:jc w:val="center"/>
            </w:pPr>
            <w:r>
              <w:rPr>
                <w:rFonts w:ascii="Arial" w:hAnsi="Arial"/>
                <w:i/>
                <w:color w:val="666666"/>
                <w:sz w:val="16"/>
              </w:rPr>
              <w:t>vs Q1: Unchanged</w:t>
            </w:r>
          </w:p>
        </w:tc>
      </w:tr>
    </w:tbl>
    <w:p>
      <w:pPr>
        <w:spacing w:after="120"/>
      </w:pPr>
    </w:p>
    <w:p>
      <w:pPr>
        <w:pStyle w:val="Heading1"/>
        <w:spacing w:before="240" w:after="120"/>
      </w:pPr>
      <w:r>
        <w:rPr>
          <w:rFonts w:ascii="Arial" w:hAnsi="Arial"/>
          <w:color w:val="E65100"/>
          <w:sz w:val="28"/>
        </w:rPr>
        <w:t>Geopolitical Threat Landscape</w:t>
      </w:r>
    </w:p>
    <w:p>
      <w:pPr>
        <w:keepNext/>
      </w:pPr>
      <w:r>
        <w:rPr>
          <w:rFonts w:ascii="Arial" w:hAnsi="Arial"/>
          <w:i/>
          <w:color w:val="666666"/>
          <w:sz w:val="18"/>
        </w:rPr>
        <w:t>Nation-state activity assessed for direct relevance to Illumina's assets, operations, and competitive position — Q2 2026.</w:t>
      </w:r>
    </w:p>
    <w:p>
      <w:pPr>
        <w:spacing w:after="120"/>
      </w:pPr>
    </w:p>
    <w:tbl>
      <w:tblPr>
        <w:tblW w:type="auto" w:w="0"/>
        <w:jc w:val="left"/>
        <w:tblLayout w:type="fixed"/>
        <w:tblLook w:firstColumn="1" w:firstRow="1" w:lastColumn="0" w:lastRow="0" w:noHBand="0" w:noVBand="1" w:val="04A0"/>
      </w:tblPr>
      <w:tblGrid>
        <w:gridCol w:w="3120"/>
        <w:gridCol w:w="3120"/>
        <w:gridCol w:w="3120"/>
      </w:tblGrid>
      <w:tr>
        <w:trPr>
          <w:cantSplit w:val="1"/>
        </w:trPr>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China</w:t>
            </w:r>
          </w:p>
          <w:p>
            <w:pPr>
              <w:spacing w:after="0"/>
              <w:jc w:val="center"/>
            </w:pPr>
            <w:r>
              <w:rPr>
                <w:rFonts w:ascii="Arial" w:hAnsi="Arial"/>
                <w:b w:val="0"/>
                <w:color w:val="8899AA"/>
                <w:sz w:val="14"/>
              </w:rPr>
              <w:t xml:space="preserve">THREAT LEVEL  </w:t>
            </w:r>
            <w:r>
              <w:rPr>
                <w:rFonts w:ascii="Arial" w:hAnsi="Arial"/>
                <w:b/>
                <w:color w:val="FF6B6B"/>
                <w:sz w:val="18"/>
              </w:rPr>
              <w:t>HIGH</w:t>
            </w:r>
          </w:p>
        </w:tc>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Russia</w:t>
            </w:r>
          </w:p>
          <w:p>
            <w:pPr>
              <w:spacing w:after="0"/>
              <w:jc w:val="center"/>
            </w:pPr>
            <w:r>
              <w:rPr>
                <w:rFonts w:ascii="Arial" w:hAnsi="Arial"/>
                <w:b w:val="0"/>
                <w:color w:val="8899AA"/>
                <w:sz w:val="14"/>
              </w:rPr>
              <w:t xml:space="preserve">THREAT LEVEL  </w:t>
            </w:r>
            <w:r>
              <w:rPr>
                <w:rFonts w:ascii="Arial" w:hAnsi="Arial"/>
                <w:b/>
                <w:color w:val="FF6B6B"/>
                <w:sz w:val="18"/>
              </w:rPr>
              <w:t>HIGH</w:t>
            </w:r>
          </w:p>
        </w:tc>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North Korea</w:t>
            </w:r>
          </w:p>
          <w:p>
            <w:pPr>
              <w:spacing w:after="0"/>
              <w:jc w:val="center"/>
            </w:pPr>
            <w:r>
              <w:rPr>
                <w:rFonts w:ascii="Arial" w:hAnsi="Arial"/>
                <w:b w:val="0"/>
                <w:color w:val="8899AA"/>
                <w:sz w:val="14"/>
              </w:rPr>
              <w:t xml:space="preserve">THREAT LEVEL  </w:t>
            </w:r>
            <w:r>
              <w:rPr>
                <w:rFonts w:ascii="Arial" w:hAnsi="Arial"/>
                <w:b/>
                <w:color w:val="FFD166"/>
                <w:sz w:val="18"/>
              </w:rPr>
              <w:t>MEDIUM</w:t>
            </w:r>
          </w:p>
        </w:tc>
      </w:tr>
      <w:tr>
        <w:trPr>
          <w:cantSplit w:val="1"/>
        </w:trPr>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Multiple vectors</w:t>
            </w:r>
          </w:p>
          <w:p>
            <w:pPr>
              <w:spacing w:after="0"/>
            </w:pPr>
            <w:r>
              <w:rPr>
                <w:rFonts w:ascii="Arial" w:hAnsi="Arial"/>
                <w:b/>
                <w:color w:val="6B7280"/>
                <w:sz w:val="15"/>
              </w:rPr>
              <w:t xml:space="preserve">Illumina exposure  </w:t>
            </w:r>
            <w:r>
              <w:rPr>
                <w:rFonts w:ascii="Arial" w:hAnsi="Arial"/>
                <w:b/>
                <w:color w:val="92400E"/>
                <w:sz w:val="15"/>
              </w:rPr>
              <w:t>MEDIUM</w:t>
            </w:r>
          </w:p>
        </w:tc>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Multiple vectors</w:t>
            </w:r>
          </w:p>
          <w:p>
            <w:pPr>
              <w:spacing w:after="0"/>
            </w:pPr>
            <w:r>
              <w:rPr>
                <w:rFonts w:ascii="Arial" w:hAnsi="Arial"/>
                <w:b/>
                <w:color w:val="6B7280"/>
                <w:sz w:val="15"/>
              </w:rPr>
              <w:t xml:space="preserve">Illumina exposure  </w:t>
            </w:r>
            <w:r>
              <w:rPr>
                <w:rFonts w:ascii="Arial" w:hAnsi="Arial"/>
                <w:b/>
                <w:color w:val="92400E"/>
                <w:sz w:val="15"/>
              </w:rPr>
              <w:t>MEDIUM</w:t>
            </w:r>
          </w:p>
        </w:tc>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Multiple vectors</w:t>
            </w:r>
          </w:p>
          <w:p>
            <w:pPr>
              <w:spacing w:after="0"/>
            </w:pPr>
            <w:r>
              <w:rPr>
                <w:rFonts w:ascii="Arial" w:hAnsi="Arial"/>
                <w:b/>
                <w:color w:val="6B7280"/>
                <w:sz w:val="15"/>
              </w:rPr>
              <w:t xml:space="preserve">Illumina exposure  </w:t>
            </w:r>
            <w:r>
              <w:rPr>
                <w:rFonts w:ascii="Arial" w:hAnsi="Arial"/>
                <w:b/>
                <w:color w:val="92400E"/>
                <w:sz w:val="15"/>
              </w:rPr>
              <w:t>MEDIUM</w:t>
            </w:r>
          </w:p>
        </w:tc>
      </w:tr>
      <w:tr>
        <w:trPr>
          <w:cantSplit w:val="1"/>
        </w:trPr>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China's 14th Five-Year Plan designates biotechnology as strategic priority with genomics emphasis.</w:t>
            </w:r>
          </w:p>
          <w:p>
            <w:pPr>
              <w:spacing w:after="40"/>
            </w:pPr>
            <w:r>
              <w:rPr>
                <w:rFonts w:ascii="Arial" w:hAnsi="Arial"/>
                <w:color w:val="1A202C"/>
                <w:sz w:val="15"/>
              </w:rPr>
              <w:t>•  MSS-affiliated actors conduct systematic collection against Western life sciences organizations.</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Russian-speaking criminal groups operating with tacit state approval pose ransomware threat.</w:t>
            </w:r>
          </w:p>
          <w:p>
            <w:pPr>
              <w:spacing w:after="40"/>
            </w:pPr>
            <w:r>
              <w:rPr>
                <w:rFonts w:ascii="Arial" w:hAnsi="Arial"/>
                <w:color w:val="1A202C"/>
                <w:sz w:val="15"/>
              </w:rPr>
              <w:t>•  State cyber interests in life sciences remain opportunistic, focusing on healthcare disruption.</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DPRK cyber operations serve revenue generation and medical research acquisition purposes.</w:t>
            </w:r>
          </w:p>
          <w:p>
            <w:pPr>
              <w:spacing w:after="40"/>
            </w:pPr>
            <w:r>
              <w:rPr>
                <w:rFonts w:ascii="Arial" w:hAnsi="Arial"/>
                <w:color w:val="1A202C"/>
                <w:sz w:val="15"/>
              </w:rPr>
              <w:t>•  Sustained interest in vaccine research and oncology treatments for domestic programs.</w:t>
            </w:r>
          </w:p>
        </w:tc>
      </w:tr>
      <w:tr>
        <w:trPr>
          <w:cantSplit w:val="1"/>
        </w:trPr>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APT41 conducted intrusions via compromised software update mechanisms targeting pharma and genomics.</w:t>
            </w:r>
          </w:p>
          <w:p>
            <w:pPr>
              <w:spacing w:after="40"/>
            </w:pPr>
            <w:r>
              <w:rPr>
                <w:rFonts w:ascii="Arial" w:hAnsi="Arial"/>
                <w:color w:val="1A202C"/>
                <w:sz w:val="15"/>
              </w:rPr>
              <w:t>•  GENESIS PANDA spearphished clinical research coordinators at 6 biotech firms this quarter.</w:t>
            </w:r>
          </w:p>
        </w:tc>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Ransomware incidents affecting healthcare and pharma increased 31% quarter-over-quarter.</w:t>
            </w:r>
          </w:p>
          <w:p>
            <w:pPr>
              <w:spacing w:after="40"/>
            </w:pPr>
            <w:r>
              <w:rPr>
                <w:rFonts w:ascii="Arial" w:hAnsi="Arial"/>
                <w:color w:val="1A202C"/>
                <w:sz w:val="15"/>
              </w:rPr>
              <w:t>•  LockBit, ALPHV/BlackCat, and Cl0p affiliates accounted for majority of industry incidents.</w:t>
            </w:r>
          </w:p>
        </w:tc>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Lazarus Group and Kimsuky conducted LinkedIn social engineering throughout the quarter.</w:t>
            </w:r>
          </w:p>
          <w:p>
            <w:pPr>
              <w:spacing w:after="40"/>
            </w:pPr>
            <w:r>
              <w:rPr>
                <w:rFonts w:ascii="Arial" w:hAnsi="Arial"/>
                <w:color w:val="1A202C"/>
                <w:sz w:val="15"/>
              </w:rPr>
              <w:t>•  Campaigns used fake recruiter personas targeting research scientists and engineers.</w:t>
            </w:r>
          </w:p>
        </w:tc>
      </w:tr>
      <w:tr>
        <w:trPr>
          <w:cantSplit w:val="1"/>
        </w:trPr>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Theft of sequencing technology designs could erode competitive advantage and R&amp;D investment.</w:t>
            </w:r>
          </w:p>
          <w:p>
            <w:pPr>
              <w:spacing w:after="40"/>
            </w:pPr>
            <w:r>
              <w:rPr>
                <w:rFonts w:ascii="Arial" w:hAnsi="Arial"/>
                <w:color w:val="1A202C"/>
                <w:sz w:val="15"/>
              </w:rPr>
              <w:t>•  Compromised clinical trial data raises regulatory and patient safety concerns for ongoing studies.</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Ransomware incidents average $4.2M recovery costs and 23 days operational disruption.</w:t>
            </w:r>
          </w:p>
          <w:p>
            <w:pPr>
              <w:spacing w:after="40"/>
            </w:pPr>
            <w:r>
              <w:rPr>
                <w:rFonts w:ascii="Arial" w:hAnsi="Arial"/>
                <w:color w:val="1A202C"/>
                <w:sz w:val="15"/>
              </w:rPr>
              <w:t>•  Manufacturing environments face extended recovery due to OT system complexity and validation.</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Credential compromise provides access to sensitive environments and IP repositories.</w:t>
            </w:r>
          </w:p>
          <w:p>
            <w:pPr>
              <w:spacing w:after="40"/>
            </w:pPr>
            <w:r>
              <w:rPr>
                <w:rFonts w:ascii="Arial" w:hAnsi="Arial"/>
                <w:color w:val="1A202C"/>
                <w:sz w:val="15"/>
              </w:rPr>
              <w:t>•  Executive targeting enables BEC fraud attempts and supply chain infiltration vectors.</w:t>
            </w:r>
          </w:p>
        </w:tc>
      </w:tr>
    </w:tbl>
    <w:p>
      <w:pPr>
        <w:spacing w:after="120"/>
      </w:pPr>
    </w:p>
    <w:p>
      <w:pPr>
        <w:pStyle w:val="Heading1"/>
        <w:spacing w:before="240" w:after="120"/>
      </w:pPr>
      <w:r>
        <w:rPr>
          <w:rFonts w:ascii="Arial" w:hAnsi="Arial"/>
          <w:color w:val="E65100"/>
          <w:sz w:val="28"/>
        </w:rPr>
        <w:t>Industry Breach Landscape</w:t>
      </w:r>
    </w:p>
    <w:p>
      <w:pPr>
        <w:spacing w:before="0" w:after="120"/>
      </w:pPr>
      <w:r>
        <w:rPr>
          <w:rFonts w:ascii="Arial" w:hAnsi="Arial"/>
          <w:i/>
          <w:color w:val="6B7280"/>
          <w:sz w:val="18"/>
        </w:rPr>
        <w:t>Analysis based on publicly disclosed incidents affecting life sciences, pharmaceutical, and precision manufacturing organizations during Q1 2026.</w:t>
      </w:r>
    </w:p>
    <w:p>
      <w:pPr>
        <w:spacing w:after="120"/>
      </w:pPr>
    </w:p>
    <w:tbl>
      <w:tblPr>
        <w:tblW w:type="auto" w:w="0"/>
        <w:tblLayout w:type="fixed"/>
        <w:tblLook w:firstColumn="1" w:firstRow="1" w:lastColumn="0" w:lastRow="0" w:noHBand="0" w:noVBand="1" w:val="04A0"/>
      </w:tblPr>
      <w:tblGrid>
        <w:gridCol w:w="2340"/>
        <w:gridCol w:w="2340"/>
        <w:gridCol w:w="2340"/>
        <w:gridCol w:w="2340"/>
      </w:tblGrid>
      <w:tr>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47</w:t>
            </w:r>
          </w:p>
          <w:p>
            <w:pPr>
              <w:spacing w:after="80"/>
              <w:jc w:val="center"/>
            </w:pPr>
            <w:r>
              <w:rPr>
                <w:rFonts w:ascii="Arial" w:hAnsi="Arial"/>
                <w:b/>
                <w:color w:val="000000"/>
                <w:sz w:val="20"/>
              </w:rPr>
              <w:t>Total Incidents</w:t>
            </w:r>
          </w:p>
          <w:p>
            <w:pPr>
              <w:jc w:val="center"/>
            </w:pPr>
            <w:r>
              <w:rPr>
                <w:rFonts w:ascii="Arial" w:hAnsi="Arial"/>
                <w:b w:val="0"/>
                <w:i/>
                <w:color w:val="DC3545"/>
                <w:sz w:val="16"/>
              </w:rPr>
              <w:t>Prior Quarter: 36 (+30%)</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$127M</w:t>
            </w:r>
          </w:p>
          <w:p>
            <w:pPr>
              <w:spacing w:after="80"/>
              <w:jc w:val="center"/>
            </w:pPr>
            <w:r>
              <w:rPr>
                <w:rFonts w:ascii="Arial" w:hAnsi="Arial"/>
                <w:b/>
                <w:color w:val="000000"/>
                <w:sz w:val="20"/>
              </w:rPr>
              <w:t>Est. Impact</w:t>
            </w:r>
          </w:p>
          <w:p>
            <w:pPr>
              <w:jc w:val="center"/>
            </w:pPr>
            <w:r>
              <w:rPr>
                <w:rFonts w:ascii="Arial" w:hAnsi="Arial"/>
                <w:b w:val="0"/>
                <w:i/>
                <w:color w:val="DC3545"/>
                <w:sz w:val="16"/>
              </w:rPr>
              <w:t>Prior Quarter: $89M (+43%)</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18</w:t>
            </w:r>
          </w:p>
          <w:p>
            <w:pPr>
              <w:spacing w:after="80"/>
              <w:jc w:val="center"/>
            </w:pPr>
            <w:r>
              <w:rPr>
                <w:rFonts w:ascii="Arial" w:hAnsi="Arial"/>
                <w:b/>
                <w:color w:val="000000"/>
                <w:sz w:val="20"/>
              </w:rPr>
              <w:t>Ransomware</w:t>
            </w:r>
          </w:p>
          <w:p>
            <w:pPr>
              <w:jc w:val="center"/>
            </w:pPr>
            <w:r>
              <w:rPr>
                <w:rFonts w:ascii="Arial" w:hAnsi="Arial"/>
                <w:b w:val="0"/>
                <w:i/>
                <w:color w:val="DC3545"/>
                <w:sz w:val="16"/>
              </w:rPr>
              <w:t>Prior Quarter: 12 (+50%)</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4.2M</w:t>
            </w:r>
          </w:p>
          <w:p>
            <w:pPr>
              <w:spacing w:after="80"/>
              <w:jc w:val="center"/>
            </w:pPr>
            <w:r>
              <w:rPr>
                <w:rFonts w:ascii="Arial" w:hAnsi="Arial"/>
                <w:b/>
                <w:color w:val="000000"/>
                <w:sz w:val="20"/>
              </w:rPr>
              <w:t>Records Exposed</w:t>
            </w:r>
          </w:p>
          <w:p>
            <w:pPr>
              <w:jc w:val="center"/>
            </w:pPr>
            <w:r>
              <w:rPr>
                <w:rFonts w:ascii="Arial" w:hAnsi="Arial"/>
                <w:b w:val="0"/>
                <w:i/>
                <w:color w:val="DC3545"/>
                <w:sz w:val="16"/>
              </w:rPr>
              <w:t>Prior Quarter: 2.8M (+50%)</w:t>
            </w:r>
          </w:p>
        </w:tc>
      </w:tr>
    </w:tbl>
    <w:p>
      <w:pPr>
        <w:spacing w:after="120"/>
      </w:pPr>
    </w:p>
    <w:p>
      <w:pPr>
        <w:spacing w:before="200" w:after="80"/>
      </w:pPr>
      <w:r>
        <w:rPr>
          <w:rFonts w:ascii="Arial" w:hAnsi="Arial"/>
          <w:b/>
          <w:color w:val="E65100"/>
          <w:sz w:val="22"/>
        </w:rPr>
        <w:t>Incidents by Type</w:t>
      </w:r>
    </w:p>
    <w:tbl>
      <w:tblPr>
        <w:tblW w:type="auto" w:w="0"/>
        <w:tblLayout w:type="fixed"/>
        <w:tblLook w:firstColumn="1" w:firstRow="1" w:lastColumn="0" w:lastRow="0" w:noHBand="0" w:noVBand="1" w:val="04A0"/>
      </w:tblPr>
      <w:tblGrid>
        <w:gridCol w:w="2002"/>
        <w:gridCol w:w="1195"/>
        <w:gridCol w:w="1195"/>
        <w:gridCol w:w="4968"/>
      </w:tblGrid>
      <w:tr>
        <w:tc>
          <w:tcPr>
            <w:tcW w:type="dxa" w:w="2520"/>
            <w:shd w:fill="E65100" w:val="clear" w:color="auto"/>
            <w:tcMar>
              <w:top w:w="60" w:type="dxa"/>
              <w:bottom w:w="60" w:type="dxa"/>
              <w:left w:w="80" w:type="dxa"/>
              <w:right w:w="80" w:type="dxa"/>
            </w:tcMar>
          </w:tcPr>
          <w:p>
            <w:pPr>
              <w:jc w:val="center"/>
            </w:pPr>
            <w:r>
              <w:rPr>
                <w:rFonts w:ascii="Arial" w:hAnsi="Arial"/>
                <w:b/>
                <w:color w:val="FFFFFF"/>
                <w:sz w:val="20"/>
              </w:rPr>
              <w:t>Incident Type</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Q1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Q4 2025</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Notable Example</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Ransomware</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18</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12</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Pharma manufacturer: 12-day production halt, FDA notification</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Data Theft / Exfiltration</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11</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9</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Genomics institute: 2.3M patient samples accessed</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Manufacturing / OT Disruption</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5</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Medical device mfg: assembly line shutdown, 8-day recovery</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Business Email Compromise</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6</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5</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CRO: $3.8M fraudulent wire transfers</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Third-Party / Vendor</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4</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4</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Lab software vendor: credentials exposed for 200+ customers</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Unauthorized Access</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3</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Biotech: former employee accessed IP post-termination</w:t>
            </w:r>
          </w:p>
        </w:tc>
      </w:tr>
    </w:tbl>
    <w:p>
      <w:pPr>
        <w:spacing w:after="120"/>
      </w:pPr>
    </w:p>
    <w:p>
      <w:pPr>
        <w:spacing w:before="160" w:after="80"/>
      </w:pPr>
      <w:r>
        <w:rPr>
          <w:rFonts w:ascii="Arial" w:hAnsi="Arial"/>
          <w:b/>
          <w:color w:val="E65100"/>
          <w:sz w:val="22"/>
        </w:rPr>
        <w:t>Common Factors Across Incidents</w:t>
      </w:r>
    </w:p>
    <w:p>
      <w:pPr>
        <w:spacing w:after="120"/>
      </w:pPr>
      <w:r>
        <w:rPr>
          <w:rFonts w:ascii="Arial" w:hAnsi="Arial"/>
          <w:b w:val="0"/>
          <w:color w:val="111827"/>
          <w:sz w:val="20"/>
        </w:rPr>
        <w:t>Exploitation of unpatched internet-facing systems accounted for 34% of incidents, followed by compromised credentials without MFA (28%). Third-party vendor compromise represented 19% of cases, with social engineering accounting for the remaining 19%. Manufacturing environments faced extended recovery timelines averaging 23 days due to OT system complexity.</w:t>
      </w:r>
    </w:p>
    <w:p>
      <w:pPr>
        <w:spacing w:after="120"/>
      </w:pPr>
    </w:p>
    <w:p>
      <w:pPr>
        <w:pStyle w:val="Heading1"/>
        <w:spacing w:before="240" w:after="120"/>
      </w:pPr>
      <w:r>
        <w:rPr>
          <w:rFonts w:ascii="Arial" w:hAnsi="Arial"/>
          <w:color w:val="E65100"/>
          <w:sz w:val="28"/>
        </w:rPr>
        <w:t>Looking Ahead: Q2 2026</w:t>
      </w:r>
    </w:p>
    <w:p>
      <w:pPr>
        <w:spacing w:before="120" w:after="40"/>
      </w:pPr>
      <w:r>
        <w:rPr>
          <w:rFonts w:ascii="Arial" w:hAnsi="Arial"/>
          <w:b/>
          <w:color w:val="000000"/>
          <w:sz w:val="22"/>
        </w:rPr>
        <w:t>Specific Watch Items</w:t>
      </w:r>
    </w:p>
    <w:p>
      <w:pPr>
        <w:spacing w:before="0" w:after="120"/>
      </w:pPr>
      <w:r>
        <w:rPr>
          <w:rFonts w:ascii="Arial" w:hAnsi="Arial"/>
          <w:i/>
          <w:color w:val="6B7280"/>
          <w:sz w:val="18"/>
        </w:rPr>
        <w:t>Named, specific items — not generic monitoring reminders.</w:t>
      </w:r>
    </w:p>
    <w:p>
      <w:pPr>
        <w:pStyle w:val="ListNumber"/>
        <w:spacing w:after="80"/>
      </w:pPr>
      <w:r>
        <w:rPr>
          <w:rFonts w:ascii="Arial" w:hAnsi="Arial"/>
          <w:b/>
          <w:color w:val="2C3E50"/>
          <w:sz w:val="20"/>
        </w:rPr>
        <w:t>Major genomics conferences and product launches —</w:t>
      </w:r>
      <w:r>
        <w:rPr>
          <w:rFonts w:ascii="Arial" w:hAnsi="Arial"/>
          <w:b w:val="0"/>
          <w:color w:val="000000"/>
          <w:sz w:val="20"/>
        </w:rPr>
        <w:t xml:space="preserve"> Potential escalation in state-sponsored espionage activity targeting intellectual property and partnership announcements during high-profile industry events.</w:t>
      </w:r>
    </w:p>
    <w:p>
      <w:pPr>
        <w:pStyle w:val="ListNumber"/>
        <w:spacing w:after="80"/>
      </w:pPr>
      <w:r>
        <w:rPr>
          <w:rFonts w:ascii="Arial" w:hAnsi="Arial"/>
          <w:b/>
          <w:color w:val="2C3E50"/>
          <w:sz w:val="20"/>
        </w:rPr>
        <w:t>Ransomware evolution targeting OT environments —</w:t>
      </w:r>
      <w:r>
        <w:rPr>
          <w:rFonts w:ascii="Arial" w:hAnsi="Arial"/>
          <w:b w:val="0"/>
          <w:color w:val="000000"/>
          <w:sz w:val="20"/>
        </w:rPr>
        <w:t xml:space="preserve"> Continued sophistication in double extortion tactics with increased focus on manufacturing and operational technology systems.</w:t>
      </w:r>
    </w:p>
    <w:p>
      <w:pPr>
        <w:pStyle w:val="ListNumber"/>
        <w:spacing w:after="80"/>
      </w:pPr>
      <w:r>
        <w:rPr>
          <w:rFonts w:ascii="Arial" w:hAnsi="Arial"/>
          <w:b/>
          <w:color w:val="2C3E50"/>
          <w:sz w:val="20"/>
        </w:rPr>
        <w:t>Supply chain vendor compromises —</w:t>
      </w:r>
      <w:r>
        <w:rPr>
          <w:rFonts w:ascii="Arial" w:hAnsi="Arial"/>
          <w:b w:val="0"/>
          <w:color w:val="000000"/>
          <w:sz w:val="20"/>
        </w:rPr>
        <w:t xml:space="preserve"> Ongoing third-party security incidents affecting laboratory equipment vendors and biomanufacturing software providers.</w:t>
      </w:r>
    </w:p>
    <w:p>
      <w:pPr>
        <w:spacing w:after="120"/>
      </w:pPr>
    </w:p>
    <w:p>
      <w:pPr>
        <w:pStyle w:val="Heading1"/>
        <w:spacing w:before="240" w:after="120"/>
      </w:pPr>
      <w:r>
        <w:rPr>
          <w:rFonts w:ascii="Arial" w:hAnsi="Arial"/>
          <w:color w:val="E65100"/>
          <w:sz w:val="28"/>
        </w:rPr>
        <w:t>Recommendations</w:t>
      </w:r>
    </w:p>
    <w:p>
      <w:pPr>
        <w:spacing w:before="0" w:after="120"/>
      </w:pPr>
      <w:r>
        <w:rPr>
          <w:rFonts w:ascii="Arial" w:hAnsi="Arial"/>
          <w:i/>
          <w:color w:val="6B7280"/>
          <w:sz w:val="18"/>
        </w:rPr>
        <w:t>Based on Q1 threat activity and industry incidents, these actions will strengthen security posture:</w:t>
      </w: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1.  </w:t>
            </w:r>
            <w:r>
              <w:rPr>
                <w:rFonts w:ascii="Arial" w:hAnsi="Arial"/>
                <w:b/>
                <w:color w:val="E65100"/>
                <w:sz w:val="22"/>
                <w:u w:val="single"/>
              </w:rPr>
              <w:t>Executive</w:t>
            </w:r>
            <w:r>
              <w:rPr>
                <w:rFonts w:ascii="Arial" w:hAnsi="Arial"/>
                <w:b/>
                <w:color w:val="E65100"/>
                <w:sz w:val="22"/>
                <w:u w:val="none"/>
              </w:rPr>
              <w:t xml:space="preserve"> Awareness Briefings</w:t>
            </w:r>
          </w:p>
          <w:p>
            <w:pPr>
              <w:spacing w:after="0"/>
            </w:pPr>
            <w:r>
              <w:rPr>
                <w:rFonts w:ascii="Arial" w:hAnsi="Arial"/>
                <w:b w:val="0"/>
                <w:color w:val="111827"/>
                <w:sz w:val="20"/>
              </w:rPr>
              <w:t>Consider targeted security awareness for executives and key research personnel given sustained social engineering campaigns via professional networks. CTI team can provide customized briefings on current threat actor tactics.</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2.  </w:t>
            </w:r>
            <w:r>
              <w:rPr>
                <w:rFonts w:ascii="Arial" w:hAnsi="Arial"/>
                <w:b/>
                <w:color w:val="E65100"/>
                <w:sz w:val="22"/>
                <w:u w:val="single"/>
              </w:rPr>
              <w:t>Vendor</w:t>
            </w:r>
            <w:r>
              <w:rPr>
                <w:rFonts w:ascii="Arial" w:hAnsi="Arial"/>
                <w:b/>
                <w:color w:val="E65100"/>
                <w:sz w:val="22"/>
                <w:u w:val="none"/>
              </w:rPr>
              <w:t xml:space="preserve"> Risk Assessment Review</w:t>
            </w:r>
          </w:p>
          <w:p>
            <w:pPr>
              <w:spacing w:after="0"/>
            </w:pPr>
            <w:r>
              <w:rPr>
                <w:rFonts w:ascii="Arial" w:hAnsi="Arial"/>
                <w:b w:val="0"/>
                <w:color w:val="111827"/>
                <w:sz w:val="20"/>
              </w:rPr>
              <w:t>Evaluate security posture of critical software and laboratory equipment vendors given Q1 supply chain compromise activity. Prioritize vendors with privileged access to research and manufacturing systems.</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3.  </w:t>
            </w:r>
            <w:r>
              <w:rPr>
                <w:rFonts w:ascii="Arial" w:hAnsi="Arial"/>
                <w:b/>
                <w:color w:val="E65100"/>
                <w:sz w:val="22"/>
                <w:u w:val="single"/>
              </w:rPr>
              <w:t>Manufacturing</w:t>
            </w:r>
            <w:r>
              <w:rPr>
                <w:rFonts w:ascii="Arial" w:hAnsi="Arial"/>
                <w:b/>
                <w:color w:val="E65100"/>
                <w:sz w:val="22"/>
                <w:u w:val="none"/>
              </w:rPr>
              <w:t xml:space="preserve"> Environment Security</w:t>
            </w:r>
          </w:p>
          <w:p>
            <w:pPr>
              <w:spacing w:after="0"/>
            </w:pPr>
            <w:r>
              <w:rPr>
                <w:rFonts w:ascii="Arial" w:hAnsi="Arial"/>
                <w:b w:val="0"/>
                <w:color w:val="111827"/>
                <w:sz w:val="20"/>
              </w:rPr>
              <w:t>Review network segmentation between IT and OT/manufacturing systems. Ensure incident response plans address manufacturing disruption scenarios and production recovery timelines.</w:t>
            </w:r>
          </w:p>
        </w:tc>
      </w:tr>
    </w:tbl>
    <w:p>
      <w:pPr>
        <w:spacing w:after="160"/>
      </w:pPr>
    </w:p>
    <w:p>
      <w:pPr>
        <w:pStyle w:val="Heading1"/>
      </w:pPr>
      <w:r>
        <w:rPr>
          <w:rFonts w:ascii="Arial" w:hAnsi="Arial"/>
          <w:color w:val="E65100"/>
          <w:sz w:val="28"/>
        </w:rPr>
        <w:t>Resources &amp; Intelligence Sources</w:t>
      </w:r>
    </w:p>
    <w:p>
      <w:pPr>
        <w:spacing w:after="120"/>
      </w:pPr>
      <w:r>
        <w:rPr>
          <w:rFonts w:ascii="Arial" w:hAnsi="Arial"/>
          <w:i/>
          <w:color w:val="6B7280"/>
          <w:sz w:val="20"/>
        </w:rPr>
        <w:t>This report was compiled using the following intelligence sources:</w:t>
      </w:r>
    </w:p>
    <w:p>
      <w:pPr>
        <w:pStyle w:val="ListBullet"/>
      </w:pPr>
      <w:r>
        <w:rPr>
          <w:rFonts w:ascii="Arial" w:hAnsi="Arial"/>
          <w:b/>
          <w:sz w:val="20"/>
        </w:rPr>
        <w:t xml:space="preserve">[1] </w:t>
      </w:r>
      <w:r>
        <w:rPr>
          <w:rFonts w:ascii="Arial" w:hAnsi="Arial"/>
          <w:sz w:val="20"/>
        </w:rPr>
        <w:t>NIST National Vulnerability Database (NVD)</w:t>
      </w:r>
    </w:p>
    <w:p>
      <w:pPr>
        <w:pStyle w:val="ListBullet"/>
      </w:pPr>
      <w:r>
        <w:rPr>
          <w:rFonts w:ascii="Arial" w:hAnsi="Arial"/>
          <w:b/>
          <w:sz w:val="20"/>
        </w:rPr>
        <w:t xml:space="preserve">[2] </w:t>
      </w:r>
      <w:r>
        <w:rPr>
          <w:rFonts w:ascii="Arial" w:hAnsi="Arial"/>
          <w:sz w:val="20"/>
        </w:rPr>
        <w:t>CISA Known Exploited Vulnerabilities (KEV) Catalog</w:t>
      </w:r>
    </w:p>
    <w:p>
      <w:pPr>
        <w:pStyle w:val="ListBullet"/>
      </w:pPr>
      <w:r>
        <w:rPr>
          <w:rFonts w:ascii="Arial" w:hAnsi="Arial"/>
          <w:b/>
          <w:sz w:val="20"/>
        </w:rPr>
        <w:t xml:space="preserve">[3] </w:t>
      </w:r>
      <w:r>
        <w:rPr>
          <w:rFonts w:ascii="Arial" w:hAnsi="Arial"/>
          <w:sz w:val="20"/>
        </w:rPr>
        <w:t>Intel471 Titan threat intelligence platform</w:t>
      </w:r>
    </w:p>
    <w:p>
      <w:pPr>
        <w:pStyle w:val="ListBullet"/>
      </w:pPr>
      <w:r>
        <w:rPr>
          <w:rFonts w:ascii="Arial" w:hAnsi="Arial"/>
          <w:b/>
          <w:sz w:val="20"/>
        </w:rPr>
        <w:t xml:space="preserve">[4] </w:t>
      </w:r>
      <w:r>
        <w:rPr>
          <w:rFonts w:ascii="Arial" w:hAnsi="Arial"/>
          <w:sz w:val="20"/>
        </w:rPr>
        <w:t>CrowdStrike Falcon Intelligence</w:t>
      </w:r>
    </w:p>
    <w:p>
      <w:pPr>
        <w:spacing w:before="240" w:after="120"/>
      </w:pPr>
      <w:r>
        <w:rPr>
          <w:rFonts w:ascii="Arial" w:hAnsi="Arial"/>
          <w:b/>
          <w:sz w:val="20"/>
        </w:rPr>
        <w:t>Open Source Intelligence (OSINT) Sources:</w:t>
      </w:r>
    </w:p>
    <w:p>
      <w:pPr>
        <w:pStyle w:val="ListBullet"/>
      </w:pPr>
      <w:r>
        <w:rPr>
          <w:rFonts w:ascii="Arial" w:hAnsi="Arial"/>
          <w:b/>
          <w:sz w:val="20"/>
        </w:rPr>
        <w:t xml:space="preserve">[5] </w:t>
      </w:r>
      <w:hyperlink r:id="rId10">
        <w:r>
          <w:rPr>
            <w:rFonts w:ascii="Arial" w:hAnsi="Arial"/>
            <w:color w:val="005A9C"/>
            <w:sz w:val="20"/>
            <w:u w:val="single"/>
          </w:rPr>
          <w:t>FortiClient EMS Flaw</w:t>
        </w:r>
      </w:hyperlink>
      <w:r>
        <w:rPr>
          <w:rFonts w:ascii="Arial" w:hAnsi="Arial"/>
          <w:i/>
          <w:color w:val="6B7280"/>
          <w:sz w:val="20"/>
        </w:rPr>
        <w:t xml:space="preserve"> - Confirmed active exploitation of FortiClient EMS vulnerability impacting device security.</w:t>
      </w:r>
    </w:p>
    <w:p>
      <w:pPr>
        <w:pStyle w:val="ListBullet"/>
      </w:pPr>
      <w:r>
        <w:rPr>
          <w:rFonts w:ascii="Arial" w:hAnsi="Arial"/>
          <w:b/>
          <w:sz w:val="20"/>
        </w:rPr>
        <w:t xml:space="preserve">[6] </w:t>
      </w:r>
      <w:hyperlink r:id="rId11">
        <w:r>
          <w:rPr>
            <w:rFonts w:ascii="Arial" w:hAnsi="Arial"/>
            <w:color w:val="005A9C"/>
            <w:sz w:val="20"/>
            <w:u w:val="single"/>
          </w:rPr>
          <w:t>GreyVibe AI Attacks</w:t>
        </w:r>
      </w:hyperlink>
      <w:r>
        <w:rPr>
          <w:rFonts w:ascii="Arial" w:hAnsi="Arial"/>
          <w:i/>
          <w:color w:val="6B7280"/>
          <w:sz w:val="20"/>
        </w:rPr>
        <w:t xml:space="preserve"> - Highlights emerging use of AI-powered phishing and malware delivery by Russian-linked threat clusters.</w:t>
      </w:r>
    </w:p>
    <w:p>
      <w:pPr>
        <w:pStyle w:val="ListBullet"/>
      </w:pPr>
      <w:r>
        <w:rPr>
          <w:rFonts w:ascii="Arial" w:hAnsi="Arial"/>
          <w:b/>
          <w:sz w:val="20"/>
        </w:rPr>
        <w:t xml:space="preserve">[7] </w:t>
      </w:r>
      <w:hyperlink r:id="rId12">
        <w:r>
          <w:rPr>
            <w:rFonts w:ascii="Arial" w:hAnsi="Arial"/>
            <w:color w:val="005A9C"/>
            <w:sz w:val="20"/>
            <w:u w:val="single"/>
          </w:rPr>
          <w:t>BTMOB Android Malware</w:t>
        </w:r>
      </w:hyperlink>
      <w:r>
        <w:rPr>
          <w:rFonts w:ascii="Arial" w:hAnsi="Arial"/>
          <w:i/>
          <w:color w:val="6B7280"/>
          <w:sz w:val="20"/>
        </w:rPr>
        <w:t xml:space="preserve"> - Identifies new Android malware service generating custom phishing payloads, increasing risk to healthcare systems.</w:t>
      </w:r>
    </w:p>
    <w:p>
      <w:pPr>
        <w:spacing w:after="120"/>
      </w:pPr>
    </w:p>
    <w:p>
      <w:pPr>
        <w:jc w:val="left"/>
      </w:pPr>
      <w:r>
        <w:rPr>
          <w:rFonts w:ascii="Arial" w:hAnsi="Arial"/>
          <w:b/>
          <w:color w:val="555555"/>
          <w:sz w:val="20"/>
          <w:u w:val="none"/>
        </w:rPr>
        <w:t>Questions or suspicious activity: secops@illumina.com | ServiceNow</w:t>
      </w:r>
    </w:p>
    <w:p>
      <w:pPr>
        <w:spacing w:after="120"/>
      </w:pPr>
    </w:p>
    <w:sectPr w:rsidR="00FC693F" w:rsidRPr="0006063C" w:rsidSect="00034616">
      <w:pgPr>
        <w:vAlign w:val="top"/>
      </w:pgPr>
      <w:headerReference w:type="default" r:id="rId9"/>
      <w:footerReference w:type="default" r:id="rId13"/>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example.com/forticlient-vulnerability" TargetMode="External"/><Relationship Id="rId11" Type="http://schemas.openxmlformats.org/officeDocument/2006/relationships/hyperlink" Target="https://example.com/greyvibe-ai-phishing" TargetMode="External"/><Relationship Id="rId12" Type="http://schemas.openxmlformats.org/officeDocument/2006/relationships/hyperlink" Target="https://example.com/btmob-android-threat" TargetMode="Externa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