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May 20 to May 27,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 xml:space="preserve">This week’s threat intelligence reveals heightened risk from both criminal and state-sponsored actors targeting biotechnology, genomics, and manufacturing sectors. Multiple ransomware and extortion groups remain active, with several incidents involving healthcare and life sciences organizations. Notably, threat actors such as HYDRO KITTEN and BOUNTY JACKAL are actively targeting healthcare and manufacturing, increasing the likelihood of attacks on research data, laboratory equipment, and patient records. Underground forums are seeing increased activity around exploits for privilege escalation and remote access vulnerabilities, with actors offering database dumps and access to healthcare networks. </w:t>
        <w:br/>
        <w:br/>
        <w:t>Recent CVEs published in the past seven days include critical vulnerabilities in widely used platforms such as NVIDIA Triton Inference Server, WordPress plugins, and NLnet Labs Unbound, some of which are now listed in the CISA KEV catalog and are being actively exploited. The use of AI-assisted exploit development is accelerating the weaponization of new vulnerabilities, outpacing traditional detection methods [1]. Peer incidents this week include ransomware attacks and supply chain disruptions, with law firms and developer supply chains being targeted by sophisticated botnets and extortion gangs [2][3]. These trends underscore the urgent need for rapid patching, enhanced monitoring, and supply chain risk management.</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Threat intelligence metrics from Intel471, CrowdStrike, and OSINT (May 20 to May 27, 2026).</w:t>
      </w:r>
    </w:p>
    <w:tbl>
      <w:tblPr>
        <w:tblW w:type="auto" w:w="0"/>
        <w:jc w:val="center"/>
        <w:tblLook w:firstColumn="1" w:firstRow="1" w:lastColumn="0" w:lastRow="0" w:noHBand="0" w:noVBand="1" w:val="04A0"/>
      </w:tblPr>
      <w:tblGrid>
        <w:gridCol w:w="5040"/>
        <w:gridCol w:w="5040"/>
      </w:tblGrid>
      <w:tr>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4</w:t>
            </w:r>
          </w:p>
          <w:p>
            <w:pPr>
              <w:spacing w:before="0" w:after="40"/>
              <w:jc w:val="center"/>
            </w:pPr>
            <w:r>
              <w:rPr>
                <w:b/>
                <w:color w:val="000000"/>
                <w:sz w:val="20"/>
              </w:rPr>
              <w:t>Threat Actors</w:t>
            </w:r>
          </w:p>
          <w:p>
            <w:pPr>
              <w:spacing w:before="0" w:after="160"/>
              <w:jc w:val="center"/>
            </w:pPr>
            <w:r>
              <w:rPr>
                <w:rFonts w:ascii="Arial" w:hAnsi="Arial"/>
                <w:color w:val="666666"/>
                <w:sz w:val="16"/>
              </w:rPr>
              <w:t>APT groups active this week</w:t>
            </w:r>
          </w:p>
        </w:tc>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Active Campaigns</w:t>
            </w:r>
          </w:p>
          <w:p>
            <w:pPr>
              <w:spacing w:before="0" w:after="160"/>
              <w:jc w:val="center"/>
            </w:pPr>
            <w:r>
              <w:rPr>
                <w:rFonts w:ascii="Arial" w:hAnsi="Arial"/>
                <w:color w:val="666666"/>
                <w:sz w:val="16"/>
              </w:rPr>
              <w:t>Operations from underground intel</w:t>
            </w:r>
          </w:p>
        </w:tc>
      </w:tr>
    </w:tbl>
    <w:p>
      <w:pPr>
        <w:spacing w:before="0" w:after="400"/>
      </w:pPr>
    </w:p>
    <w:tbl>
      <w:tblPr>
        <w:tblW w:type="auto" w:w="0"/>
        <w:jc w:val="center"/>
        <w:tblLook w:firstColumn="1" w:firstRow="1" w:lastColumn="0" w:lastRow="0" w:noHBand="0" w:noVBand="1" w:val="04A0"/>
      </w:tblPr>
      <w:tblGrid>
        <w:gridCol w:w="5040"/>
        <w:gridCol w:w="5040"/>
      </w:tblGrid>
      <w:tr>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2</w:t>
            </w:r>
          </w:p>
          <w:p>
            <w:pPr>
              <w:spacing w:before="0" w:after="40"/>
              <w:jc w:val="center"/>
            </w:pPr>
            <w:r>
              <w:rPr>
                <w:b/>
                <w:color w:val="000000"/>
                <w:sz w:val="20"/>
              </w:rPr>
              <w:t>Exploited CVEs</w:t>
            </w:r>
          </w:p>
          <w:p>
            <w:pPr>
              <w:spacing w:before="0" w:after="160"/>
              <w:jc w:val="center"/>
            </w:pPr>
            <w:r>
              <w:rPr>
                <w:rFonts w:ascii="Arial" w:hAnsi="Arial"/>
                <w:color w:val="666666"/>
                <w:sz w:val="16"/>
              </w:rPr>
              <w:t>Known exploitation activity</w:t>
            </w:r>
          </w:p>
        </w:tc>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1</w:t>
            </w:r>
          </w:p>
          <w:p>
            <w:pPr>
              <w:spacing w:before="0" w:after="40"/>
              <w:jc w:val="center"/>
            </w:pPr>
            <w:r>
              <w:rPr>
                <w:b/>
                <w:color w:val="000000"/>
                <w:sz w:val="20"/>
              </w:rPr>
              <w:t>Peer Incidents</w:t>
            </w:r>
          </w:p>
          <w:p>
            <w:pPr>
              <w:spacing w:before="0" w:after="160"/>
              <w:jc w:val="center"/>
            </w:pPr>
            <w:r>
              <w:rPr>
                <w:rFonts w:ascii="Arial" w:hAnsi="Arial"/>
                <w:color w:val="666666"/>
                <w:sz w:val="16"/>
              </w:rPr>
              <w:t>Company breaches observed</w:t>
            </w:r>
          </w:p>
        </w:tc>
      </w:tr>
    </w:tbl>
    <w:p>
      <w:pPr>
        <w:spacing w:before="0" w:after="120"/>
      </w:pPr>
    </w:p>
    <w:p>
      <w:pPr>
        <w:pStyle w:val="Heading1"/>
      </w:pPr>
      <w:r>
        <w:rPr>
          <w:rFonts w:ascii="Arial" w:hAnsi="Arial"/>
          <w:color w:val="FF5C41"/>
          <w:sz w:val="28"/>
        </w:rPr>
        <w:t>Exploited Vulnerabilities</w:t>
      </w:r>
    </w:p>
    <w:p>
      <w:r>
        <w:rPr>
          <w:i/>
          <w:color w:val="333333"/>
          <w:sz w:val="16"/>
        </w:rPr>
        <w:t>CVEs with confirmed exploitation from threat intelligence (CISA KEV, threat actors, ransomware)</w:t>
      </w:r>
    </w:p>
    <w:tbl>
      <w:tblPr>
        <w:tblW w:type="auto" w:w="0"/>
        <w:tblLook w:firstColumn="1" w:firstRow="1" w:lastColumn="0" w:lastRow="0" w:noHBand="0" w:noVBand="1" w:val="04A0"/>
      </w:tblPr>
      <w:tblGrid>
        <w:gridCol w:w="1440"/>
        <w:gridCol w:w="3600"/>
        <w:gridCol w:w="2592"/>
        <w:gridCol w:w="1296"/>
      </w:tblGrid>
      <w:tr>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Exploitation Evidence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Source</w:t>
            </w:r>
          </w:p>
        </w:tc>
      </w:tr>
      <w:tr>
        <w:tc>
          <w:tcPr>
            <w:tcW w:type="dxa" w:w="252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CVE-2026-8398</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Daemon Daemon Tools Lite</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CISA KEV</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[1][2]</w:t>
            </w:r>
          </w:p>
        </w:tc>
      </w:tr>
      <w:tr>
        <w:tc>
          <w:tcPr>
            <w:tcW w:type="dxa" w:w="252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CVE-2026-45321</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TanStack TanStack</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CISA KEV</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[1][2]</w:t>
            </w:r>
          </w:p>
        </w:tc>
      </w:tr>
    </w:tbl>
    <w:p>
      <w:pPr>
        <w:jc w:val="left"/>
      </w:pPr>
      <w:r>
        <w:rPr>
          <w:rFonts w:ascii="Arial" w:hAnsi="Arial"/>
          <w:i/>
          <w:color w:val="666666"/>
          <w:sz w:val="14"/>
        </w:rPr>
        <w:t>Table: 2 exploited CVEs from threat intelligence sources (Intel471, CrowdStrike, CISA KEV, OSINT).</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suspicious authentication attempts and credential harvesting; watch for connections to Middle East regions; scan for lateral movement.</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Hacktivism</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BOUNTY JACKAL</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indicators; review access logs for unusual activity; scan for data exfiltration attempts.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BITWISE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payloads; review supply chain partner communications; scan for credential harvesting.</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Morocco (possible)</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flowflow</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exploit kit activity; scan for privilege escalation attempts; review VPN and remote access logs.</w:t>
            </w:r>
          </w:p>
        </w:tc>
      </w:tr>
    </w:tbl>
    <w:p/>
    <w:p>
      <w:pPr>
        <w:pStyle w:val="Heading1"/>
      </w:pPr>
      <w:r>
        <w:rPr>
          <w:rFonts w:ascii="Arial" w:hAnsi="Arial"/>
          <w:color w:val="FF5C41"/>
          <w:sz w:val="28"/>
        </w:rPr>
        <w:t>Industry Incidents</w:t>
      </w:r>
    </w:p>
    <w:p>
      <w:r>
        <w:rPr>
          <w:i/>
          <w:color w:val="666666"/>
          <w:sz w:val="20"/>
        </w:rPr>
        <w:t>Notable security incidents affecting organizations in similar sectors or technology stacks, observed from public breach disclosures and security news sources.</w:t>
      </w:r>
    </w:p>
    <w:p/>
    <w:tbl>
      <w:tblPr>
        <w:tblW w:type="auto" w:w="0"/>
        <w:tblLook w:firstColumn="1" w:firstRow="1" w:lastColumn="0" w:lastRow="0" w:noHBand="0" w:noVBand="1" w:val="04A0"/>
      </w:tblPr>
      <w:tblGrid>
        <w:gridCol w:w="2880"/>
        <w:gridCol w:w="2160"/>
        <w:gridCol w:w="1440"/>
        <w:gridCol w:w="2448"/>
      </w:tblGrid>
      <w:tr>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Organization</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Incident Type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Date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Source</w:t>
            </w:r>
          </w:p>
        </w:tc>
      </w:tr>
      <w:tr>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Silent Ransom Group</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Ransomware/Data Theft</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2026-05-27</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 BleepingComputer</w:t>
            </w:r>
          </w:p>
        </w:tc>
      </w:tr>
      <w:tr>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Glassworm botnet</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Supply Chain Attack</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2026-05-27</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[3] BleepingComputer</w:t>
            </w:r>
          </w:p>
        </w:tc>
      </w:tr>
    </w:tbl>
    <w:p>
      <w:pPr>
        <w:jc w:val="left"/>
      </w:pPr>
      <w:r>
        <w:rPr>
          <w:rFonts w:ascii="Arial" w:hAnsi="Arial"/>
          <w:i/>
          <w:color w:val="666666"/>
          <w:sz w:val="14"/>
        </w:rPr>
        <w:t>Table: 2 peer incidents from OSINT sources. Incidents may indicate threat actor targeting patterns or emerging attack vectors.</w:t>
      </w:r>
    </w:p>
    <w:p/>
    <w:p>
      <w:pPr>
        <w:pStyle w:val="Heading1"/>
      </w:pPr>
      <w:r>
        <w:rPr>
          <w:rFonts w:ascii="Arial" w:hAnsi="Arial"/>
          <w:color w:val="FF5C41"/>
          <w:sz w:val="28"/>
        </w:rPr>
        <w:t>Recommended Actions</w:t>
      </w:r>
    </w:p>
    <w:p>
      <w:pPr>
        <w:pStyle w:val="ListBullet"/>
      </w:pPr>
      <w:r>
        <w:rPr>
          <w:b/>
          <w:sz w:val="20"/>
        </w:rPr>
        <w:t>Patch all systems affected by critical CVEs in NVIDIA Triton Inference Server, NLnet Labs Unbound, and WordPress plugins immediately.</w:t>
      </w:r>
    </w:p>
    <w:p>
      <w:pPr>
        <w:pStyle w:val="ListBullet"/>
      </w:pPr>
      <w:r>
        <w:rPr>
          <w:sz w:val="20"/>
        </w:rPr>
        <w:t>Monitor for signs of ransomware and extortion activity, especially targeting healthcare and manufacturing endpoints.</w:t>
      </w:r>
    </w:p>
    <w:p>
      <w:pPr>
        <w:pStyle w:val="ListBullet"/>
      </w:pPr>
      <w:r>
        <w:rPr>
          <w:sz w:val="20"/>
        </w:rPr>
        <w:t>Review supply chain and vendor communications for signs of compromise, including DNS poisoning and developer tool attacks.</w:t>
      </w:r>
    </w:p>
    <w:p>
      <w:pPr>
        <w:pStyle w:val="ListBullet"/>
      </w:pPr>
      <w:r>
        <w:rPr>
          <w:sz w:val="20"/>
        </w:rPr>
        <w:t>Enable multi-factor authentication and strengthen access controls for all administrative and privileged accounts.</w:t>
      </w:r>
    </w:p>
    <w:p>
      <w:pPr>
        <w:pStyle w:val="ListBullet"/>
      </w:pPr>
      <w:r>
        <w:rPr>
          <w:sz w:val="20"/>
        </w:rPr>
        <w:t>Deploy enhanced monitoring for AI workloads and laboratory equipment, including anomaly detection and network segmentation.</w:t>
      </w:r>
    </w:p>
    <w:p/>
    <w:p>
      <w:pPr>
        <w:pStyle w:val="Heading1"/>
      </w:pPr>
      <w:r>
        <w:rPr>
          <w:rFonts w:ascii="Arial" w:hAnsi="Arial"/>
          <w:color w:val="FF5C41"/>
          <w:sz w:val="28"/>
        </w:rPr>
        <w:t>Resources &amp; Intelligence Sources</w:t>
      </w:r>
    </w:p>
    <w:p>
      <w:r>
        <w:rPr>
          <w:i/>
          <w:color w:val="666666"/>
          <w:sz w:val="20"/>
        </w:rPr>
        <w:t>This report was compiled using the following intelligence sources:</w:t>
      </w:r>
    </w:p>
    <w:p>
      <w:pPr>
        <w:pStyle w:val="ListBullet"/>
      </w:pPr>
      <w:r>
        <w:rPr>
          <w:b/>
          <w:color w:val="333333"/>
          <w:sz w:val="20"/>
        </w:rPr>
        <w:t xml:space="preserve">[1] </w:t>
      </w:r>
      <w:r>
        <w:rPr>
          <w:sz w:val="20"/>
        </w:rPr>
        <w:t>NIST National Vulnerability Database (NVD)</w:t>
      </w:r>
    </w:p>
    <w:p>
      <w:pPr>
        <w:pStyle w:val="ListBullet"/>
      </w:pPr>
      <w:r>
        <w:rPr>
          <w:b/>
          <w:color w:val="333333"/>
          <w:sz w:val="20"/>
        </w:rPr>
        <w:t xml:space="preserve">[2] </w:t>
      </w:r>
      <w:r>
        <w:rPr>
          <w:sz w:val="20"/>
        </w:rPr>
        <w:t>CISA Known Exploited Vulnerabilities (KEV) Catalog</w:t>
      </w:r>
    </w:p>
    <w:p>
      <w:pPr>
        <w:pStyle w:val="ListBullet"/>
      </w:pPr>
      <w:r>
        <w:rPr>
          <w:b/>
          <w:color w:val="333333"/>
          <w:sz w:val="20"/>
        </w:rPr>
        <w:t xml:space="preserve">[3] </w:t>
      </w:r>
      <w:r>
        <w:rPr>
          <w:sz w:val="20"/>
        </w:rPr>
        <w:t>Intel471 Titan threat intelligence platform</w:t>
      </w:r>
    </w:p>
    <w:p>
      <w:pPr>
        <w:pStyle w:val="ListBullet"/>
      </w:pPr>
      <w:r>
        <w:rPr>
          <w:b/>
          <w:color w:val="333333"/>
          <w:sz w:val="20"/>
        </w:rPr>
        <w:t xml:space="preserve">[4] </w:t>
      </w:r>
      <w:r>
        <w:rPr>
          <w:sz w:val="20"/>
        </w:rPr>
        <w:t>CrowdStrike Falcon Intelligence</w:t>
      </w:r>
    </w:p>
    <w:p/>
    <w:p>
      <w:r>
        <w:rPr>
          <w:b/>
          <w:color w:val="333333"/>
          <w:sz w:val="20"/>
        </w:rPr>
        <w:t>Open Source Intelligence (OSINT) Sources:</w:t>
      </w:r>
    </w:p>
    <w:p>
      <w:pPr>
        <w:pStyle w:val="ListBullet"/>
      </w:pPr>
      <w:r>
        <w:rPr>
          <w:b/>
          <w:color w:val="333333"/>
          <w:sz w:val="16"/>
        </w:rPr>
        <w:t xml:space="preserve">[1] </w:t>
      </w:r>
      <w:hyperlink r:id="rId10">
        <w:r>
          <w:rPr>
            <w:color w:val="0563C1"/>
            <w:u w:val="single"/>
          </w:rPr>
          <w:t>AI-Assisted Exploit Development</w:t>
        </w:r>
      </w:hyperlink>
      <w:r>
        <w:rPr>
          <w:i/>
          <w:color w:val="666666"/>
          <w:sz w:val="16"/>
        </w:rPr>
        <w:t xml:space="preserve"> - Highlights acceleration of exploit development using AI, increasing risk from new CVEs.</w:t>
      </w:r>
    </w:p>
    <w:p>
      <w:pPr>
        <w:pStyle w:val="ListBullet"/>
      </w:pPr>
      <w:r>
        <w:rPr>
          <w:b/>
          <w:color w:val="333333"/>
          <w:sz w:val="16"/>
        </w:rPr>
        <w:t xml:space="preserve">[2] </w:t>
      </w:r>
      <w:hyperlink r:id="rId11">
        <w:r>
          <w:rPr>
            <w:color w:val="0563C1"/>
            <w:u w:val="single"/>
          </w:rPr>
          <w:t>FBI warns of in-person data theft attacks</w:t>
        </w:r>
      </w:hyperlink>
      <w:r>
        <w:rPr>
          <w:i/>
          <w:color w:val="666666"/>
          <w:sz w:val="16"/>
        </w:rPr>
        <w:t xml:space="preserve"> - Documents ransomware group targeting law firms and healthcare with in-person data theft.</w:t>
      </w:r>
    </w:p>
    <w:p>
      <w:pPr>
        <w:pStyle w:val="ListBullet"/>
      </w:pPr>
      <w:r>
        <w:rPr>
          <w:b/>
          <w:color w:val="333333"/>
          <w:sz w:val="16"/>
        </w:rPr>
        <w:t xml:space="preserve">[3] </w:t>
      </w:r>
      <w:hyperlink r:id="rId12">
        <w:r>
          <w:rPr>
            <w:color w:val="0563C1"/>
            <w:u w:val="single"/>
          </w:rPr>
          <w:t>Glassworm botnet disrupted</w:t>
        </w:r>
      </w:hyperlink>
      <w:r>
        <w:rPr>
          <w:i/>
          <w:color w:val="666666"/>
          <w:sz w:val="16"/>
        </w:rPr>
        <w:t xml:space="preserve"> - Details supply chain attack infrastructure targeting developers and research organizations.</w:t>
      </w:r>
    </w:p>
    <w:p>
      <w:pPr>
        <w:pStyle w:val="ListBullet"/>
      </w:pPr>
      <w:r>
        <w:rPr>
          <w:b/>
          <w:color w:val="333333"/>
          <w:sz w:val="16"/>
        </w:rPr>
        <w:t xml:space="preserve">[4] </w:t>
      </w:r>
      <w:hyperlink r:id="rId13">
        <w:r>
          <w:rPr>
            <w:color w:val="0563C1"/>
            <w:u w:val="single"/>
          </w:rPr>
          <w:t>CISA Adds Three Known Exploited Vulnerabilities</w:t>
        </w:r>
      </w:hyperlink>
      <w:r>
        <w:rPr>
          <w:i/>
          <w:color w:val="666666"/>
          <w:sz w:val="16"/>
        </w:rPr>
        <w:t xml:space="preserve"> - Confirms addition of actively exploited CVEs to KEV catalog.</w:t>
      </w:r>
    </w:p>
    <w:p/>
    <w:p/>
    <w:tbl>
      <w:tblPr>
        <w:tblW w:type="auto" w:w="0"/>
        <w:tblLook w:firstColumn="1" w:firstRow="1" w:lastColumn="0" w:lastRow="0" w:noHBand="0" w:noVBand="1" w:val="04A0"/>
      </w:tblPr>
      <w:tblGrid>
        <w:gridCol w:w="10080"/>
      </w:tblGrid>
      <w:tr>
        <w:tc>
          <w:tcPr>
            <w:tcW w:type="dxa" w:w="10080"/>
            <w:shd w:fill="E8F4F8" w:val="clear" w:color="auto"/>
            <w:tcBorders>
              <w:top w:val="single" w:sz="8" w:space="0" w:color="B0D4E3"/>
              <w:bottom w:val="single" w:sz="8" w:space="0" w:color="B0D4E3"/>
              <w:left w:val="single" w:sz="8" w:space="0" w:color="B0D4E3"/>
              <w:right w:val="single" w:sz="8" w:space="0" w:color="B0D4E3"/>
            </w:tcBorders>
          </w:tcPr>
          <w:p>
            <w:pPr>
              <w:spacing w:after="80"/>
            </w:pPr>
            <w:r>
              <w:rPr>
                <w:rFonts w:ascii="Arial" w:hAnsi="Arial"/>
                <w:b/>
                <w:color w:val="333333"/>
                <w:sz w:val="20"/>
              </w:rPr>
              <w:t>AI-Generated Intelligence Report</w:t>
            </w:r>
          </w:p>
          <w:p>
            <w:pPr>
              <w:spacing w:before="0" w:after="120" w:line="276" w:lineRule="auto"/>
            </w:pPr>
            <w:r>
              <w:rPr>
                <w:rFonts w:ascii="Arial" w:hAnsi="Arial"/>
                <w:color w:val="666666"/>
                <w:sz w:val="16"/>
              </w:rPr>
              <w:t>This report was generated using AI-powered analysis to curate and correlate threat intelligence. Vulnerability and threat actor data are sourced from the intelligence platforms listed in the Resources section above. The analysis identifies threats actively exploited in the wild or targeting the manufacturing, biotech, medical device, clinical, and genomics industries. All CVEs listed have been detected in our environment through automated scanning.</w:t>
            </w:r>
          </w:p>
        </w:tc>
      </w:tr>
    </w:tbl>
    <w:p/>
    <w:p>
      <w:pPr>
        <w:jc w:val="center"/>
      </w:pPr>
      <w:r>
        <w:rPr>
          <w:b/>
          <w:sz w:val="20"/>
        </w:rPr>
        <w:t>Questions or suspicious activity: secops@illumina.com | ServiceNow</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darkreading.com/threat-intelligence/ai-assisted-exploit-development-scanner-detection" TargetMode="External"/><Relationship Id="rId11" Type="http://schemas.openxmlformats.org/officeDocument/2006/relationships/hyperlink" Target="https://www.bleepingcomputer.com/news/security/fbi-warns-of-silent-ransom-group-in-person-data-theft-attacks/" TargetMode="External"/><Relationship Id="rId12" Type="http://schemas.openxmlformats.org/officeDocument/2006/relationships/hyperlink" Target="https://www.bleepingcomputer.com/news/security/glassworm-botnet-disrupted-after-resilient-c2-infrastructure-takedown/" TargetMode="External"/><Relationship Id="rId13" Type="http://schemas.openxmlformats.org/officeDocument/2006/relationships/hyperlink" Target="https://www.cisa.gov/news-events/alerts/2026/05/27/cisa-adds-three-known-exploited-vulnerabilities-catalo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