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line="216" w:lineRule="auto"/>
        <w:jc w:val="left"/>
      </w:pPr>
      <w:r>
        <w:rPr>
          <w:rFonts w:ascii="Arial" w:hAnsi="Arial"/>
          <w:b/>
          <w:color w:val="FF5C41"/>
          <w:sz w:val="36"/>
        </w:rPr>
        <w:t>Cyber Threat Intelligence Weekly Report</w:t>
      </w:r>
    </w:p>
    <w:p>
      <w:pPr>
        <w:spacing w:before="40" w:after="120"/>
        <w:jc w:val="left"/>
      </w:pPr>
      <w:r>
        <w:rPr>
          <w:rFonts w:ascii="Arial" w:hAnsi="Arial"/>
          <w:color w:val="B0B0B0"/>
          <w:sz w:val="20"/>
        </w:rPr>
        <w:t>7-Day Lookback | May 19 to May 26, 2026</w:t>
      </w:r>
    </w:p>
    <w:p/>
    <w:p>
      <w:pPr>
        <w:pStyle w:val="Heading1"/>
        <w:spacing w:before="0" w:after="0"/>
      </w:pPr>
      <w:r>
        <w:rPr>
          <w:rFonts w:ascii="Arial" w:hAnsi="Arial"/>
          <w:b/>
          <w:color w:val="FF5C41"/>
          <w:sz w:val="28"/>
        </w:rPr>
        <w:t>Executive Summary</w:t>
      </w:r>
    </w:p>
    <w:p>
      <w:pPr>
        <w:spacing w:before="0" w:after="0"/>
        <w:jc w:val="center"/>
      </w:pPr>
      <w:r>
        <w:rPr>
          <w:color w:val="666666"/>
          <w:sz w:val="21"/>
        </w:rPr>
        <w:t>•</w:t>
      </w:r>
    </w:p>
    <w:p>
      <w:pPr>
        <w:spacing w:before="0" w:after="80" w:line="360" w:lineRule="auto"/>
      </w:pPr>
      <w:r>
        <w:rPr>
          <w:rFonts w:ascii="Arial" w:hAnsi="Arial"/>
          <w:color w:val="333333"/>
          <w:sz w:val="21"/>
        </w:rPr>
        <w:t>This week's threat landscape for our genomics and biotechnology environment is dominated by vulnerabilities in WordPress plugins and themes, with several severe and critical exposures. Notably, CVE-2025-64293 presents a risk of SQL injection, potentially allowing attackers to access or manipulate sensitive research data and intellectual property. Multiple CVEs affecting the 12 Step Meeting List plugin (CVE-2024-22296, CVE-2024-35693, CVE-2025-24580, CVE-2025-24582, CVE-2025-24583, CVE-2025-54054, CVE-2026-39569, CVE-2026-39570) highlight persistent issues with authorization checks, information exposure, and cross-site scripting, which could compromise patient data, laboratory equipment, and regulatory compliance. These vulnerabilities are actively detected in our environment and require immediate attention to prevent unauthorized access, data loss, and potential disruption to laboratory and manufacturing operations. Threat actor activity remains high, with criminal and state-sponsored groups targeting healthcare, manufacturing, and pharmaceutical sectors. Ransomware, extortion, and database dumps are ongoing concerns, as confirmed by underground intelligence reports. While OSINT sources highlight industry threats such as AI-driven DDoS attacks and supply chain vulnerabilities in laboratory equipment, these are not currently detected in our environment but should be monitored closely for emerging risks [1].</w:t>
      </w:r>
    </w:p>
    <w:p>
      <w:pPr>
        <w:pStyle w:val="Heading1"/>
        <w:spacing w:before="120" w:after="0"/>
      </w:pPr>
      <w:r>
        <w:rPr>
          <w:rFonts w:ascii="Arial" w:hAnsi="Arial"/>
          <w:b/>
          <w:color w:val="FF5C41"/>
          <w:sz w:val="28"/>
        </w:rPr>
        <w:t xml:space="preserve">This Week </w:t>
      </w:r>
      <w:r>
        <w:rPr>
          <w:rFonts w:ascii="Arial" w:hAnsi="Arial"/>
          <w:b/>
          <w:color w:val="FF5C41"/>
          <w:sz w:val="28"/>
          <w:u w:val="none"/>
        </w:rPr>
        <w:t>at a Glance</w:t>
      </w:r>
    </w:p>
    <w:p>
      <w:pPr>
        <w:spacing w:before="200" w:after="80"/>
      </w:pPr>
      <w:r>
        <w:rPr>
          <w:rFonts w:ascii="Arial" w:hAnsi="Arial"/>
          <w:i/>
          <w:color w:val="B0B0B0"/>
          <w:sz w:val="18"/>
        </w:rPr>
        <w:t>Vulnerability and threat actor metrics from automated collection (May 19 to May 26, 2026).</w:t>
      </w: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0</w:t>
            </w:r>
          </w:p>
          <w:p>
            <w:pPr>
              <w:spacing w:before="0" w:after="40"/>
              <w:jc w:val="center"/>
            </w:pPr>
            <w:r>
              <w:rPr>
                <w:b/>
                <w:color w:val="000000"/>
                <w:sz w:val="20"/>
              </w:rPr>
              <w:t>New This Week</w:t>
            </w:r>
          </w:p>
          <w:p>
            <w:pPr>
              <w:spacing w:before="0" w:after="160"/>
              <w:jc w:val="center"/>
            </w:pPr>
            <w:r>
              <w:rPr>
                <w:rFonts w:ascii="Arial" w:hAnsi="Arial"/>
                <w:color w:val="666666"/>
                <w:sz w:val="16"/>
              </w:rPr>
              <w:t>First appearance in Rapid7 scans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23</w:t>
            </w:r>
          </w:p>
          <w:p>
            <w:pPr>
              <w:spacing w:before="0" w:after="40"/>
              <w:jc w:val="center"/>
            </w:pPr>
            <w:r>
              <w:rPr>
                <w:b/>
                <w:color w:val="000000"/>
                <w:sz w:val="20"/>
              </w:rPr>
              <w:t>Persistent (3+ Wks)</w:t>
            </w:r>
          </w:p>
          <w:p>
            <w:pPr>
              <w:spacing w:before="0" w:after="160"/>
              <w:jc w:val="center"/>
            </w:pPr>
            <w:r>
              <w:rPr>
                <w:rFonts w:ascii="Arial" w:hAnsi="Arial"/>
                <w:color w:val="666666"/>
                <w:sz w:val="16"/>
              </w:rPr>
              <w:t>Unresolved from prior reports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2ECC71"/>
                <w:sz w:val="44"/>
              </w:rPr>
              <w:t>0</w:t>
            </w:r>
          </w:p>
          <w:p>
            <w:pPr>
              <w:spacing w:before="0" w:after="40"/>
              <w:jc w:val="center"/>
            </w:pPr>
            <w:r>
              <w:rPr>
                <w:b/>
                <w:color w:val="000000"/>
                <w:sz w:val="20"/>
              </w:rPr>
              <w:t>Resolved</w:t>
            </w:r>
          </w:p>
          <w:p>
            <w:pPr>
              <w:spacing w:before="0" w:after="160"/>
              <w:jc w:val="center"/>
            </w:pPr>
            <w:r>
              <w:rPr>
                <w:rFonts w:ascii="Arial" w:hAnsi="Arial"/>
                <w:color w:val="666666"/>
                <w:sz w:val="16"/>
              </w:rPr>
              <w:t>Remediated since last week</w:t>
            </w:r>
          </w:p>
        </w:tc>
      </w:tr>
    </w:tbl>
    <w:p>
      <w:pPr>
        <w:spacing w:before="0" w:after="400"/>
      </w:pP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24</w:t>
            </w:r>
          </w:p>
          <w:p>
            <w:pPr>
              <w:spacing w:before="0" w:after="40"/>
              <w:jc w:val="center"/>
            </w:pPr>
            <w:r>
              <w:rPr>
                <w:b/>
                <w:color w:val="000000"/>
                <w:sz w:val="20"/>
              </w:rPr>
              <w:t>Total Exposed</w:t>
            </w:r>
          </w:p>
          <w:p>
            <w:pPr>
              <w:spacing w:before="0" w:after="160"/>
              <w:jc w:val="center"/>
            </w:pPr>
            <w:r>
              <w:rPr>
                <w:rFonts w:ascii="Arial" w:hAnsi="Arial"/>
                <w:color w:val="666666"/>
                <w:sz w:val="16"/>
              </w:rPr>
              <w:t>CVEs on assets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0</w:t>
            </w:r>
          </w:p>
          <w:p>
            <w:pPr>
              <w:spacing w:before="0" w:after="40"/>
              <w:jc w:val="center"/>
            </w:pPr>
            <w:r>
              <w:rPr>
                <w:b/>
                <w:color w:val="000000"/>
                <w:sz w:val="20"/>
              </w:rPr>
              <w:t>Actively Exploited</w:t>
            </w:r>
          </w:p>
          <w:p>
            <w:pPr>
              <w:spacing w:before="0" w:after="160"/>
              <w:jc w:val="center"/>
            </w:pPr>
            <w:r>
              <w:rPr>
                <w:rFonts w:ascii="Arial" w:hAnsi="Arial"/>
                <w:color w:val="666666"/>
                <w:sz w:val="16"/>
              </w:rPr>
              <w:t>Confirmed threat actor use</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5</w:t>
            </w:r>
          </w:p>
          <w:p>
            <w:pPr>
              <w:spacing w:before="0" w:after="40"/>
              <w:jc w:val="center"/>
            </w:pPr>
            <w:r>
              <w:rPr>
                <w:b/>
                <w:color w:val="000000"/>
                <w:sz w:val="20"/>
              </w:rPr>
              <w:t>Actor Groups</w:t>
            </w:r>
          </w:p>
          <w:p>
            <w:pPr>
              <w:spacing w:before="0" w:after="160"/>
              <w:jc w:val="center"/>
            </w:pPr>
            <w:r>
              <w:rPr>
                <w:rFonts w:ascii="Arial" w:hAnsi="Arial"/>
                <w:color w:val="666666"/>
                <w:sz w:val="16"/>
              </w:rPr>
              <w:t>Targeting biotech sector</w:t>
            </w:r>
          </w:p>
        </w:tc>
      </w:tr>
    </w:tbl>
    <w:p>
      <w:pPr>
        <w:spacing w:before="0" w:after="120"/>
      </w:pPr>
    </w:p>
    <w:p>
      <w:pPr>
        <w:pStyle w:val="Heading1"/>
      </w:pPr>
      <w:r>
        <w:rPr>
          <w:rFonts w:ascii="Arial" w:hAnsi="Arial"/>
          <w:color w:val="FF5C41"/>
          <w:sz w:val="28"/>
        </w:rPr>
        <w:t>Vulnerability Exposure</w:t>
      </w:r>
    </w:p>
    <w:p>
      <w:r>
        <w:rPr>
          <w:i/>
          <w:color w:val="333333"/>
          <w:sz w:val="16"/>
        </w:rPr>
        <w:t>Bright red background indicates active exploitation (CISA KEV, ransomware, or threat actors)</w:t>
      </w:r>
    </w:p>
    <w:tbl>
      <w:tblPr>
        <w:tblW w:type="auto" w:w="0"/>
        <w:tblLook w:firstColumn="1" w:firstRow="1" w:lastColumn="0" w:lastRow="0" w:noHBand="0" w:noVBand="1" w:val="04A0"/>
      </w:tblPr>
      <w:tblGrid>
        <w:gridCol w:w="2520"/>
        <w:gridCol w:w="2520"/>
        <w:gridCol w:w="2520"/>
        <w:gridCol w:w="2520"/>
      </w:tblGrid>
      <w:tr>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Item</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Affected Product/Technology</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Exposure</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Wks</w:t>
            </w:r>
          </w:p>
        </w:tc>
      </w:tr>
      <w:tr>
        <w:tc>
          <w:tcPr>
            <w:tcW w:type="dxa" w:w="2520"/>
            <w:tcBorders>
              <w:top w:val="single" w:sz="4" w:space="0" w:color="CCCCCC"/>
              <w:bottom w:val="single" w:sz="4" w:space="0" w:color="CCCCCC"/>
              <w:left w:val="single" w:sz="4" w:space="0" w:color="CCCCCC"/>
              <w:right w:val="single" w:sz="4" w:space="0" w:color="CCCCCC"/>
            </w:tcBorders>
          </w:tcPr>
          <w:p>
            <w:r>
              <w:rPr>
                <w:b/>
                <w:color w:val="333333"/>
                <w:sz w:val="18"/>
              </w:rPr>
              <w:t>WordPress Products</w:t>
              <w:br/>
              <w:t>(24 CVEs)</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Multiple products (24 vulnerabilities)</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24 systems</w:t>
            </w:r>
          </w:p>
        </w:tc>
        <w:tc>
          <w:tcPr>
            <w:tcW w:type="dxa" w:w="252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53</w:t>
            </w:r>
          </w:p>
        </w:tc>
      </w:tr>
    </w:tbl>
    <w:p>
      <w:pPr>
        <w:jc w:val="left"/>
      </w:pPr>
      <w:r>
        <w:rPr>
          <w:rFonts w:ascii="Arial" w:hAnsi="Arial"/>
          <w:i/>
          <w:color w:val="666666"/>
          <w:sz w:val="14"/>
        </w:rPr>
        <w:t>Wks = consecutive weeks detected. Items at 3+ weeks (yellow) require escalation, 4+ weeks (red) are overdue. Bright red background indicates active exploitation (CISA KEV, ransomware, or threat actors). Table shows 0 individual CVEs (top by exposure/severity) and 1 technology groups covering 24 CVEs. Total: 24 CVEs detected. Source: Rapid7 InsightVM, CISA KEV, Intel471, CrowdStrike.</w:t>
      </w:r>
    </w:p>
    <w:p/>
    <w:p>
      <w:pPr>
        <w:pStyle w:val="Heading1"/>
      </w:pPr>
      <w:r>
        <w:rPr>
          <w:rFonts w:ascii="Arial" w:hAnsi="Arial"/>
          <w:color w:val="FF5C41"/>
          <w:sz w:val="28"/>
        </w:rPr>
        <w:t>Sector Threat Activity</w:t>
      </w:r>
    </w:p>
    <w:p>
      <w:r>
        <w:rPr>
          <w:i/>
          <w:color w:val="666666"/>
          <w:sz w:val="20"/>
        </w:rPr>
        <w:t>The following threat actors have been observed targeting organizations in the biotech, pharmaceutical, healthcare, manufacturing, and related sectors this week.</w:t>
      </w:r>
    </w:p>
    <w:p/>
    <w:tbl>
      <w:tblPr>
        <w:tblW w:type="auto" w:w="0"/>
        <w:tblLook w:firstColumn="1" w:firstRow="1" w:lastColumn="0" w:lastRow="0" w:noHBand="0" w:noVBand="1" w:val="04A0"/>
      </w:tblPr>
      <w:tblGrid>
        <w:gridCol w:w="3360"/>
        <w:gridCol w:w="3360"/>
        <w:gridCol w:w="3360"/>
      </w:tblGrid>
      <w:tr>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Origin / Motivation</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Activity Observed</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What to Monitor</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Unknown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HOOK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unusual file encryption activity, unauthorized access attempts, and extortion communications.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TRAVELING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credential harvesting, lateral movement, and suspicious outbound connections.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Unknown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VICE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ransomware payloads, unauthorized access, and data exfiltration.</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BITWISE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suspicious file activity, credential theft, and network anomalies.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Iran</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NEMESIS KITTEN</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spear phishing, privilege escalation, and unauthorized access to research data.</w:t>
            </w:r>
          </w:p>
        </w:tc>
      </w:tr>
    </w:tbl>
    <w:p/>
    <w:p>
      <w:pPr>
        <w:pStyle w:val="Heading1"/>
      </w:pPr>
      <w:r>
        <w:rPr>
          <w:rFonts w:ascii="Arial" w:hAnsi="Arial"/>
          <w:color w:val="FF5C41"/>
          <w:sz w:val="28"/>
        </w:rPr>
        <w:t>Recommended Actions</w:t>
      </w:r>
    </w:p>
    <w:p>
      <w:pPr>
        <w:pStyle w:val="ListBullet"/>
      </w:pPr>
      <w:r>
        <w:rPr>
          <w:b/>
          <w:sz w:val="20"/>
        </w:rPr>
        <w:t>Patch or update all affected WordPress plugins and themes immediately, prioritizing those with severe and critical vulnerabilities.</w:t>
      </w:r>
    </w:p>
    <w:p>
      <w:pPr>
        <w:pStyle w:val="ListBullet"/>
      </w:pPr>
      <w:r>
        <w:rPr>
          <w:sz w:val="20"/>
        </w:rPr>
        <w:t>Review and restrict user permissions for plugins, ensuring only authorized personnel have access to sensitive functions.</w:t>
      </w:r>
    </w:p>
    <w:p>
      <w:pPr>
        <w:pStyle w:val="ListBullet"/>
      </w:pPr>
      <w:r>
        <w:rPr>
          <w:sz w:val="20"/>
        </w:rPr>
        <w:t>Implement web application firewalls and enable strict input validation to mitigate SQL injection and cross-site scripting risks.</w:t>
      </w:r>
    </w:p>
    <w:p>
      <w:pPr>
        <w:pStyle w:val="ListBullet"/>
      </w:pPr>
      <w:r>
        <w:rPr>
          <w:sz w:val="20"/>
        </w:rPr>
        <w:t>Conduct regular backups of research and patient data, ensuring backups are stored securely and tested for integrity.</w:t>
      </w:r>
    </w:p>
    <w:p>
      <w:pPr>
        <w:pStyle w:val="ListBullet"/>
      </w:pPr>
      <w:r>
        <w:rPr>
          <w:sz w:val="20"/>
        </w:rPr>
        <w:t>Monitor for unauthorized access attempts, unusual file activity, and signs of ransomware or extortion in laboratory and manufacturing systems.</w:t>
      </w:r>
    </w:p>
    <w:p/>
    <w:p>
      <w:pPr>
        <w:pStyle w:val="Heading1"/>
      </w:pPr>
      <w:r>
        <w:rPr>
          <w:rFonts w:ascii="Arial" w:hAnsi="Arial"/>
          <w:color w:val="FF5C41"/>
          <w:sz w:val="28"/>
        </w:rPr>
        <w:t>Resources &amp; Intelligence Sources</w:t>
      </w:r>
    </w:p>
    <w:p>
      <w:r>
        <w:rPr>
          <w:i/>
          <w:color w:val="666666"/>
          <w:sz w:val="20"/>
        </w:rPr>
        <w:t>This report was compiled using the following intelligence sources:</w:t>
      </w:r>
    </w:p>
    <w:p>
      <w:pPr>
        <w:pStyle w:val="ListBullet"/>
      </w:pPr>
      <w:r>
        <w:rPr>
          <w:sz w:val="20"/>
        </w:rPr>
        <w:t>NIST National Vulnerability Database (NVD)</w:t>
      </w:r>
    </w:p>
    <w:p>
      <w:pPr>
        <w:pStyle w:val="ListBullet"/>
      </w:pPr>
      <w:r>
        <w:rPr>
          <w:sz w:val="20"/>
        </w:rPr>
        <w:t>CISA Known Exploited Vulnerabilities (KEV) Catalog</w:t>
      </w:r>
    </w:p>
    <w:p>
      <w:pPr>
        <w:pStyle w:val="ListBullet"/>
      </w:pPr>
      <w:r>
        <w:rPr>
          <w:sz w:val="20"/>
        </w:rPr>
        <w:t>Rapid7 InsightVM vulnerability scanning platform</w:t>
      </w:r>
    </w:p>
    <w:p>
      <w:pPr>
        <w:pStyle w:val="ListBullet"/>
      </w:pPr>
      <w:r>
        <w:rPr>
          <w:sz w:val="20"/>
        </w:rPr>
        <w:t>CrowdStrike Falcon Intelligence</w:t>
      </w:r>
    </w:p>
    <w:p>
      <w:pPr>
        <w:pStyle w:val="ListBullet"/>
      </w:pPr>
      <w:r>
        <w:rPr>
          <w:sz w:val="20"/>
        </w:rPr>
        <w:t>Intel471 Titan threat intelligence platform</w:t>
      </w:r>
    </w:p>
    <w:p>
      <w:pPr>
        <w:pStyle w:val="ListBullet"/>
      </w:pPr>
      <w:r>
        <w:rPr>
          <w:sz w:val="20"/>
        </w:rPr>
        <w:t>ThreatQ threat intelligence management platform</w:t>
      </w:r>
    </w:p>
    <w:p>
      <w:pPr>
        <w:pStyle w:val="ListBullet"/>
      </w:pPr>
      <w:r>
        <w:rPr>
          <w:sz w:val="20"/>
        </w:rPr>
        <w:t>MITRE ATT&amp;CK Framework</w:t>
      </w:r>
    </w:p>
    <w:p/>
    <w:p>
      <w:r>
        <w:rPr>
          <w:b/>
          <w:color w:val="333333"/>
          <w:sz w:val="20"/>
        </w:rPr>
        <w:t>Open Source Intelligence (OSINT) Sources:</w:t>
      </w:r>
    </w:p>
    <w:p>
      <w:pPr>
        <w:pStyle w:val="ListBullet"/>
      </w:pPr>
      <w:r>
        <w:rPr>
          <w:b/>
          <w:color w:val="333333"/>
          <w:sz w:val="16"/>
        </w:rPr>
        <w:t xml:space="preserve">[1] </w:t>
      </w:r>
      <w:hyperlink r:id="rId10">
        <w:r>
          <w:rPr>
            <w:color w:val="0563C1"/>
            <w:u w:val="single"/>
          </w:rPr>
          <w:t>AI DDoS Attacks</w:t>
        </w:r>
      </w:hyperlink>
      <w:r>
        <w:rPr>
          <w:i/>
          <w:color w:val="666666"/>
          <w:sz w:val="16"/>
        </w:rPr>
        <w:t xml:space="preserve"> - Highlights emerging AI-driven DDoS threats relevant to healthcare and manufacturing supply chains.</w:t>
      </w:r>
    </w:p>
    <w:p/>
    <w:p/>
    <w:tbl>
      <w:tblPr>
        <w:tblW w:type="auto" w:w="0"/>
        <w:tblLook w:firstColumn="1" w:firstRow="1" w:lastColumn="0" w:lastRow="0" w:noHBand="0" w:noVBand="1" w:val="04A0"/>
      </w:tblPr>
      <w:tblGrid>
        <w:gridCol w:w="10080"/>
      </w:tblGrid>
      <w:tr>
        <w:tc>
          <w:tcPr>
            <w:tcW w:type="dxa" w:w="10080"/>
            <w:shd w:fill="E8F4F8" w:val="clear" w:color="auto"/>
            <w:tcBorders>
              <w:top w:val="single" w:sz="8" w:space="0" w:color="B0D4E3"/>
              <w:bottom w:val="single" w:sz="8" w:space="0" w:color="B0D4E3"/>
              <w:left w:val="single" w:sz="8" w:space="0" w:color="B0D4E3"/>
              <w:right w:val="single" w:sz="8" w:space="0" w:color="B0D4E3"/>
            </w:tcBorders>
          </w:tcPr>
          <w:p>
            <w:pPr>
              <w:spacing w:after="80"/>
            </w:pPr>
            <w:r>
              <w:rPr>
                <w:rFonts w:ascii="Arial" w:hAnsi="Arial"/>
                <w:b/>
                <w:color w:val="333333"/>
                <w:sz w:val="20"/>
              </w:rPr>
              <w:t>AI-Generated Intelligence Report</w:t>
            </w:r>
          </w:p>
          <w:p>
            <w:pPr>
              <w:spacing w:before="0" w:after="120" w:line="276" w:lineRule="auto"/>
            </w:pPr>
            <w:r>
              <w:rPr>
                <w:rFonts w:ascii="Arial" w:hAnsi="Arial"/>
                <w:color w:val="666666"/>
                <w:sz w:val="16"/>
              </w:rPr>
              <w:t>This report was generated using AI-powered analysis to curate and correlate threat intelligence. Vulnerability and threat actor data are sourced from the intelligence platforms listed in the Resources section above. The analysis identifies threats actively exploited in the wild or targeting the manufacturing, biotech, medical device, clinical, and genomics industries. All CVEs listed have been detected in our environment through automated scanning.</w:t>
            </w:r>
          </w:p>
        </w:tc>
      </w:tr>
    </w:tbl>
    <w:p/>
    <w:p>
      <w:pPr>
        <w:jc w:val="center"/>
      </w:pPr>
      <w:r>
        <w:rPr>
          <w:b/>
          <w:sz w:val="20"/>
        </w:rPr>
        <w:t>Questions or suspicious activity: secops@illumina.com | ServiceNow</w:t>
      </w:r>
    </w:p>
    <w:p/>
    <w:sectPr w:rsidR="00FC693F" w:rsidRPr="0006063C" w:rsidSect="00034616">
      <w:background w:color="FFFFFF"/>
      <w:pgPr>
        <w:vAlign w:val="top"/>
      </w:pgPr>
      <w:headerReference w:type="default" r:id="rId9"/>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p>
    <w:pPr>
      <w:spacing w:before="40" w:after="0"/>
      <w:jc w:val="right"/>
    </w:pPr>
    <w:r>
      <w:rPr>
        <w:rFonts w:ascii="Consolas" w:hAnsi="Consolas"/>
        <w:color w:val="B0B0B0"/>
        <w:sz w:val="16"/>
      </w:rPr>
      <w:t>CTI-WK-2026-22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color w:val="33333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thehackernews.com/2026/05/new-ai-ddos-attacks-are-smarter-learn.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