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 w:line="216" w:lineRule="auto"/>
        <w:jc w:val="left"/>
      </w:pPr>
      <w:r>
        <w:rPr>
          <w:rFonts w:ascii="Arial" w:hAnsi="Arial"/>
          <w:b/>
          <w:color w:val="FF5C41"/>
          <w:sz w:val="36"/>
        </w:rPr>
        <w:t>Cyber Threat Intelligence Weekly Report</w:t>
      </w:r>
    </w:p>
    <w:p>
      <w:pPr>
        <w:spacing w:before="40" w:after="120"/>
        <w:jc w:val="left"/>
      </w:pPr>
      <w:r>
        <w:rPr>
          <w:rFonts w:ascii="Arial" w:hAnsi="Arial"/>
          <w:color w:val="B0B0B0"/>
          <w:sz w:val="20"/>
        </w:rPr>
        <w:t>7-Day Lookback | July 13 to July 20, 2026</w:t>
      </w:r>
    </w:p>
    <w:p/>
    <w:p>
      <w:pPr>
        <w:pStyle w:val="Heading1"/>
        <w:spacing w:before="0" w:after="0"/>
      </w:pPr>
      <w:r>
        <w:rPr>
          <w:rFonts w:ascii="Arial" w:hAnsi="Arial"/>
          <w:b/>
          <w:color w:val="FF5C41"/>
          <w:sz w:val="28"/>
        </w:rPr>
        <w:t xml:space="preserve">This Week </w:t>
      </w:r>
      <w:r>
        <w:rPr>
          <w:rFonts w:ascii="Arial" w:hAnsi="Arial"/>
          <w:b/>
          <w:color w:val="FF5C41"/>
          <w:sz w:val="28"/>
          <w:u w:val="none"/>
        </w:rPr>
        <w:t>at a Glance</w:t>
      </w:r>
    </w:p>
    <w:p>
      <w:pPr>
        <w:spacing w:before="200" w:after="80"/>
      </w:pPr>
      <w:r>
        <w:rPr>
          <w:rFonts w:ascii="Arial" w:hAnsi="Arial"/>
          <w:i/>
          <w:color w:val="B0B0B0"/>
          <w:sz w:val="18"/>
        </w:rPr>
        <w:t>Threat intelligence metrics from Intel471, CrowdStrike, and OSINT (July 13 to July 20, 2026).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5F5F5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3B3B"/>
                <w:sz w:val="44"/>
              </w:rPr>
              <w:t>3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000000"/>
                <w:sz w:val="20"/>
              </w:rPr>
              <w:t>Threat Actors</w:t>
            </w:r>
          </w:p>
          <w:p>
            <w:pPr>
              <w:spacing w:before="0" w:after="160"/>
              <w:jc w:val="center"/>
            </w:pPr>
            <w:r>
              <w:rPr>
                <w:rFonts w:ascii="Arial" w:hAnsi="Arial"/>
                <w:color w:val="666666"/>
                <w:sz w:val="16"/>
              </w:rPr>
              <w:t>APT groups active this week</w:t>
            </w:r>
          </w:p>
        </w:tc>
        <w:tc>
          <w:tcPr>
            <w:tcW w:type="dxa" w:w="5040"/>
            <w:shd w:fill="F5F5F5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5C41"/>
                <w:sz w:val="44"/>
              </w:rPr>
              <w:t>2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000000"/>
                <w:sz w:val="20"/>
              </w:rPr>
              <w:t>Active Campaigns</w:t>
            </w:r>
          </w:p>
          <w:p>
            <w:pPr>
              <w:spacing w:before="0" w:after="160"/>
              <w:jc w:val="center"/>
            </w:pPr>
            <w:r>
              <w:rPr>
                <w:rFonts w:ascii="Arial" w:hAnsi="Arial"/>
                <w:color w:val="666666"/>
                <w:sz w:val="16"/>
              </w:rPr>
              <w:t>Operations from underground intel</w:t>
            </w:r>
          </w:p>
        </w:tc>
      </w:tr>
    </w:tbl>
    <w:p>
      <w:pPr>
        <w:spacing w:before="0"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5F5F5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3B3B"/>
                <w:sz w:val="44"/>
              </w:rPr>
              <w:t>2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000000"/>
                <w:sz w:val="20"/>
              </w:rPr>
              <w:t>Exploited CVEs</w:t>
            </w:r>
          </w:p>
          <w:p>
            <w:pPr>
              <w:spacing w:before="0" w:after="160"/>
              <w:jc w:val="center"/>
            </w:pPr>
            <w:r>
              <w:rPr>
                <w:rFonts w:ascii="Arial" w:hAnsi="Arial"/>
                <w:color w:val="666666"/>
                <w:sz w:val="16"/>
              </w:rPr>
              <w:t>Known exploitation activity</w:t>
            </w:r>
          </w:p>
        </w:tc>
        <w:tc>
          <w:tcPr>
            <w:tcW w:type="dxa" w:w="5040"/>
            <w:shd w:fill="F5F5F5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3B3B"/>
                <w:sz w:val="44"/>
              </w:rPr>
              <w:t>3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000000"/>
                <w:sz w:val="20"/>
              </w:rPr>
              <w:t>Peer Incidents</w:t>
            </w:r>
          </w:p>
          <w:p>
            <w:pPr>
              <w:spacing w:before="0" w:after="160"/>
              <w:jc w:val="center"/>
            </w:pPr>
            <w:r>
              <w:rPr>
                <w:rFonts w:ascii="Arial" w:hAnsi="Arial"/>
                <w:color w:val="666666"/>
                <w:sz w:val="16"/>
              </w:rPr>
              <w:t>Company breaches observed</w:t>
            </w:r>
          </w:p>
        </w:tc>
      </w:tr>
    </w:tbl>
    <w:p>
      <w:pPr>
        <w:spacing w:before="0" w:after="240"/>
      </w:pPr>
    </w:p>
    <w:p>
      <w:pPr>
        <w:pStyle w:val="Heading1"/>
        <w:spacing w:before="120" w:after="80"/>
      </w:pPr>
      <w:r>
        <w:rPr>
          <w:rFonts w:ascii="Arial" w:hAnsi="Arial"/>
          <w:b/>
          <w:color w:val="FF5C41"/>
          <w:sz w:val="28"/>
        </w:rPr>
        <w:t>Summary</w:t>
      </w:r>
    </w:p>
    <w:p>
      <w:pPr>
        <w:spacing w:before="0" w:after="80" w:line="360" w:lineRule="auto"/>
      </w:pPr>
      <w:r>
        <w:rPr>
          <w:rFonts w:ascii="Arial" w:hAnsi="Arial"/>
          <w:color w:val="333333"/>
          <w:sz w:val="21"/>
        </w:rPr>
        <w:t>CrowdStrike reports LIGHTNING SPIDER, TRAVELING SPIDER, and PLUMP SPIDER actively targeting manufacturing, pharmaceutical, and healthcare sectors this week. Critical vulnerabilities in ServiceNow AI Platform (CVE-2026-6875) and NGINX (CVE-2026-42533) are under active exploitation, posing risk to research and laboratory systems [1][2]. Peer incidents include the Hugging Face breach by an autonomous AI agent, exposing internal datasets and credentials [3], and exposed WebDAV malware delivery infrastructure affecting laboratory environments [4]. Intel471 confirms ongoing ransomware and data extortion campaigns targeting healthcare and supply chain organizations. Immediate patching and enhanced monitoring are required for affected platforms.</w:t>
      </w:r>
    </w:p>
    <w:p>
      <w:pPr>
        <w:pStyle w:val="Heading1"/>
      </w:pPr>
      <w:r>
        <w:rPr>
          <w:rFonts w:ascii="Arial" w:hAnsi="Arial"/>
          <w:color w:val="FF5C41"/>
          <w:sz w:val="28"/>
        </w:rPr>
        <w:t>Exploited Vulnerabilities</w:t>
      </w:r>
    </w:p>
    <w:p>
      <w:r>
        <w:rPr>
          <w:i/>
          <w:color w:val="666666"/>
          <w:sz w:val="16"/>
        </w:rPr>
        <w:t xml:space="preserve">CVEs with confirmed exploitation from threat intelligence (CISA KEV, threat actors, ransomware). </w:t>
      </w:r>
      <w:r>
        <w:rPr>
          <w:b/>
          <w:color w:val="333333"/>
          <w:sz w:val="16"/>
        </w:rPr>
        <w:t>Review vulnerability scan results and prioritize patching. Check affected systems for signs of exploitation.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3600"/>
        <w:gridCol w:w="2592"/>
        <w:gridCol w:w="1296"/>
      </w:tblGrid>
      <w:tr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CVE ID</w:t>
            </w:r>
          </w:p>
        </w:tc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Affected Product</w:t>
            </w:r>
          </w:p>
        </w:tc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Exploitation Evidence</w:t>
            </w:r>
          </w:p>
        </w:tc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3333"/>
                <w:sz w:val="18"/>
              </w:rPr>
            </w:r>
            <w:r>
              <w:rPr>
                <w:b/>
                <w:color w:val="333333"/>
                <w:sz w:val="18"/>
              </w:rPr>
              <w:t>CVE-2026-6875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ServiceNow AI Platform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Active exploit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</w:r>
            <w:r>
              <w:rPr>
                <w:color w:val="333333"/>
                <w:sz w:val="18"/>
              </w:rPr>
              <w:t>[1] NVD</w:t>
            </w:r>
            <w:r>
              <w:rPr>
                <w:color w:val="333333"/>
                <w:sz w:val="18"/>
              </w:rPr>
              <w:t xml:space="preserve">, </w:t>
            </w:r>
            <w:r>
              <w:rPr>
                <w:color w:val="333333"/>
                <w:sz w:val="18"/>
              </w:rPr>
              <w:t>[?] OSINT</w:t>
            </w:r>
          </w:p>
        </w:tc>
      </w:tr>
      <w:tr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3333"/>
                <w:sz w:val="18"/>
              </w:rPr>
            </w:r>
            <w:r>
              <w:rPr>
                <w:b/>
                <w:color w:val="333333"/>
                <w:sz w:val="18"/>
              </w:rPr>
              <w:t>CVE-2026-42533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NGINX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Active exploit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</w:r>
            <w:r>
              <w:rPr>
                <w:color w:val="333333"/>
                <w:sz w:val="18"/>
              </w:rPr>
              <w:t>[1] NVD</w:t>
            </w:r>
            <w:r>
              <w:rPr>
                <w:color w:val="333333"/>
                <w:sz w:val="18"/>
              </w:rPr>
              <w:t xml:space="preserve">, </w:t>
            </w:r>
            <w:r>
              <w:rPr>
                <w:color w:val="333333"/>
                <w:sz w:val="18"/>
              </w:rPr>
              <w:t>[?] OSINT</w:t>
            </w:r>
          </w:p>
        </w:tc>
      </w:tr>
    </w:tbl>
    <w:p>
      <w:pPr>
        <w:jc w:val="left"/>
      </w:pPr>
      <w:r>
        <w:rPr>
          <w:rFonts w:ascii="Arial" w:hAnsi="Arial"/>
          <w:i/>
          <w:color w:val="666666"/>
          <w:sz w:val="14"/>
        </w:rPr>
        <w:t>Table: 2 exploited CVEs from threat intelligence sources (Intel471, CrowdStrike, CISA KEV, OSINT).</w:t>
      </w:r>
    </w:p>
    <w:p/>
    <w:p>
      <w:pPr>
        <w:pStyle w:val="Heading1"/>
      </w:pPr>
      <w:r>
        <w:rPr>
          <w:rFonts w:ascii="Arial" w:hAnsi="Arial"/>
          <w:color w:val="FF5C41"/>
          <w:sz w:val="28"/>
        </w:rPr>
        <w:t>Sector Threat Activity</w:t>
      </w:r>
    </w:p>
    <w:p>
      <w:r>
        <w:rPr>
          <w:i/>
          <w:color w:val="666666"/>
          <w:sz w:val="20"/>
        </w:rPr>
        <w:t xml:space="preserve">The following threat actors have been observed targeting organizations in the biotech, pharmaceutical, healthcare, manufacturing, and related sectors this week. </w:t>
      </w:r>
      <w:r>
        <w:rPr>
          <w:b/>
          <w:color w:val="333333"/>
          <w:sz w:val="20"/>
        </w:rPr>
        <w:t>Review 'What to Monitor' column to identify relevant log sources and detection opportunities.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3600"/>
        <w:gridCol w:w="2880"/>
        <w:gridCol w:w="1296"/>
      </w:tblGrid>
      <w:tr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Origin / Motivation</w:t>
            </w:r>
          </w:p>
        </w:tc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Activity Observed</w:t>
            </w:r>
          </w:p>
        </w:tc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What to Monitor</w:t>
            </w:r>
          </w:p>
        </w:tc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20"/>
            <w:shd w:fill="F5F5F5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Unknown</w:t>
              <w:br/>
              <w:t>Criminal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LIGHTNING SPIDER</w:t>
            </w:r>
          </w:p>
        </w:tc>
        <w:tc>
          <w:tcPr>
            <w:tcW w:type="dxa" w:w="2520"/>
            <w:shd w:fill="E3F2FD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Monitor for suspicious file encryption activity, outbound data transfers, and unauthorized access attempts.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</w:r>
            <w:r>
              <w:rPr>
                <w:color w:val="333333"/>
                <w:sz w:val="18"/>
              </w:rPr>
              <w:t>[2] CrowdStrike</w:t>
            </w:r>
          </w:p>
        </w:tc>
      </w:tr>
      <w:tr>
        <w:tc>
          <w:tcPr>
            <w:tcW w:type="dxa" w:w="2520"/>
            <w:shd w:fill="F5F5F5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Russian Federation</w:t>
              <w:br/>
              <w:t>Criminal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TRAVELING SPIDER</w:t>
            </w:r>
          </w:p>
        </w:tc>
        <w:tc>
          <w:tcPr>
            <w:tcW w:type="dxa" w:w="2520"/>
            <w:shd w:fill="E3F2FD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Monitor for lateral movement, suspicious network connections, and supply chain anomalies.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</w:r>
            <w:r>
              <w:rPr>
                <w:color w:val="333333"/>
                <w:sz w:val="18"/>
              </w:rPr>
              <w:t>[2] CrowdStrike</w:t>
            </w:r>
          </w:p>
        </w:tc>
      </w:tr>
      <w:tr>
        <w:tc>
          <w:tcPr>
            <w:tcW w:type="dxa" w:w="2520"/>
            <w:shd w:fill="F5F5F5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Brazil</w:t>
              <w:br/>
              <w:t>Criminal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PLUMP SPIDER</w:t>
            </w:r>
          </w:p>
        </w:tc>
        <w:tc>
          <w:tcPr>
            <w:tcW w:type="dxa" w:w="2520"/>
            <w:shd w:fill="E3F2FD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Monitor for unauthorized access to sensitive data and credential harvesting attempts.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</w:r>
            <w:r>
              <w:rPr>
                <w:color w:val="333333"/>
                <w:sz w:val="18"/>
              </w:rPr>
              <w:t>[2] CrowdStrike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FF5C41"/>
          <w:sz w:val="28"/>
        </w:rPr>
        <w:t>Active Campaigns</w:t>
      </w:r>
    </w:p>
    <w:p>
      <w:r>
        <w:rPr>
          <w:i/>
          <w:color w:val="666666"/>
          <w:sz w:val="20"/>
        </w:rPr>
        <w:t>Coordinated attack campaigns observed this week from threat intelligence sources. Campaigns represent sustained, targeted operations by threat actors with specific objectives.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440"/>
        <w:gridCol w:w="1872"/>
        <w:gridCol w:w="1584"/>
        <w:gridCol w:w="1440"/>
        <w:gridCol w:w="1152"/>
        <w:gridCol w:w="1296"/>
      </w:tblGrid>
      <w:tr>
        <w:tc>
          <w:tcPr>
            <w:tcW w:type="dxa" w:w="144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Campaign Name</w:t>
            </w:r>
          </w:p>
        </w:tc>
        <w:tc>
          <w:tcPr>
            <w:tcW w:type="dxa" w:w="144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Threat Actor(s)</w:t>
            </w:r>
          </w:p>
        </w:tc>
        <w:tc>
          <w:tcPr>
            <w:tcW w:type="dxa" w:w="144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144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Targets</w:t>
            </w:r>
          </w:p>
        </w:tc>
        <w:tc>
          <w:tcPr>
            <w:tcW w:type="dxa" w:w="144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TTPs</w:t>
            </w:r>
          </w:p>
        </w:tc>
        <w:tc>
          <w:tcPr>
            <w:tcW w:type="dxa" w:w="144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144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Ransomware and Data Extortion Operations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LIGHTNING SPIDER, TRAVELING SPIDER, PLUMP SPIDER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Deploy ransomware and steal sensitive data from manufacturing, pharmaceutical, and healthcare organizations.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Manufacturing, pharmaceutical, healthcare, and supply chain vendors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Ransomware deployment, Credential harvesting, Supply chain compromise, Data exfiltration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Active this week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</w:r>
            <w:r>
              <w:rPr>
                <w:color w:val="333333"/>
                <w:sz w:val="18"/>
              </w:rPr>
              <w:t>[2] CrowdStrike</w:t>
            </w:r>
          </w:p>
        </w:tc>
      </w:tr>
      <w:tr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Healthcare and Supply Chain Targeting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Multiple actors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Compromise healthcare and supply chain organizations for extortion and data theft.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Healthcare providers, supply chain vendors, laboratory environments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Malware delivery, Credential theft, Database dumps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Active this week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</w:r>
            <w:r>
              <w:rPr>
                <w:color w:val="333333"/>
                <w:sz w:val="18"/>
              </w:rPr>
              <w:t>Intel471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FF5C41"/>
          <w:sz w:val="28"/>
        </w:rPr>
        <w:t>Peer Incidents</w:t>
      </w:r>
    </w:p>
    <w:p>
      <w:r>
        <w:rPr>
          <w:i/>
          <w:color w:val="666666"/>
          <w:sz w:val="20"/>
        </w:rPr>
        <w:t xml:space="preserve">Notable security incidents affecting organizations in similar sectors or technology stacks, observed from underground intelligence, public breach disclosures, and security news sources. </w:t>
      </w:r>
      <w:r>
        <w:rPr>
          <w:b/>
          <w:color w:val="333333"/>
          <w:sz w:val="20"/>
        </w:rPr>
        <w:t>Review attack vectors to identify relevant log sources: authentication logs for Credential Harvesting, web logs for Remote Code Execution, network logs for C2 Communication.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160"/>
        <w:gridCol w:w="1440"/>
        <w:gridCol w:w="2448"/>
      </w:tblGrid>
      <w:tr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Organization</w:t>
            </w:r>
          </w:p>
        </w:tc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Incident Type</w:t>
            </w:r>
          </w:p>
        </w:tc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20"/>
            <w:shd w:fill="E65100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Hugging Face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Unauthorized Access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2026-07-13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</w:r>
            <w:r>
              <w:rPr>
                <w:color w:val="333333"/>
                <w:sz w:val="18"/>
              </w:rPr>
              <w:t>[3] BleepingComputer</w:t>
            </w:r>
          </w:p>
        </w:tc>
      </w:tr>
      <w:tr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Hugging Face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Unauthorized Access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2026-07-13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</w:r>
            <w:r>
              <w:rPr>
                <w:color w:val="333333"/>
                <w:sz w:val="18"/>
              </w:rPr>
              <w:t>[4] The Hacker News</w:t>
            </w:r>
          </w:p>
        </w:tc>
      </w:tr>
      <w:tr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Rapid7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Malware Infection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2026-07-13</w:t>
            </w:r>
          </w:p>
        </w:tc>
        <w:tc>
          <w:tcPr>
            <w:tcW w:type="dxa" w:w="25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</w:r>
            <w:r>
              <w:rPr>
                <w:color w:val="333333"/>
                <w:sz w:val="18"/>
              </w:rPr>
              <w:t>[5] Rapid7 Blog</w:t>
            </w:r>
          </w:p>
        </w:tc>
      </w:tr>
    </w:tbl>
    <w:p>
      <w:pPr>
        <w:jc w:val="left"/>
      </w:pPr>
      <w:r>
        <w:rPr>
          <w:rFonts w:ascii="Arial" w:hAnsi="Arial"/>
          <w:i/>
          <w:color w:val="666666"/>
          <w:sz w:val="14"/>
        </w:rPr>
        <w:t>Table: 3 peer incidents from threat intelligence sources (Intel471, OSINT). Incidents may indicate threat actor targeting patterns or emerging attack vectors.</w:t>
      </w:r>
    </w:p>
    <w:p/>
    <w:p>
      <w:pPr>
        <w:pStyle w:val="Heading1"/>
      </w:pPr>
      <w:r>
        <w:rPr>
          <w:rFonts w:ascii="Arial" w:hAnsi="Arial"/>
          <w:color w:val="FF5C41"/>
          <w:sz w:val="28"/>
        </w:rPr>
        <w:t>Recommended Actions</w:t>
      </w:r>
    </w:p>
    <w:p>
      <w:pPr>
        <w:pStyle w:val="ListBullet"/>
      </w:pPr>
      <w:r>
        <w:rPr>
          <w:b/>
          <w:sz w:val="20"/>
        </w:rPr>
        <w:t>Patch ServiceNow AI Platform and NGINX immediately to mitigate active exploitation risks.</w:t>
      </w:r>
    </w:p>
    <w:p>
      <w:pPr>
        <w:pStyle w:val="ListBullet"/>
      </w:pPr>
      <w:r>
        <w:rPr>
          <w:sz w:val="20"/>
        </w:rPr>
        <w:t>Monitor for ransomware activity and unauthorized data transfers in manufacturing and healthcare networks.</w:t>
      </w:r>
    </w:p>
    <w:p>
      <w:pPr>
        <w:pStyle w:val="ListBullet"/>
      </w:pPr>
      <w:r>
        <w:rPr>
          <w:sz w:val="20"/>
        </w:rPr>
        <w:t>Review laboratory equipment and IoT device firmware for vulnerabilities and apply updates.</w:t>
      </w:r>
    </w:p>
    <w:p>
      <w:pPr>
        <w:pStyle w:val="ListBullet"/>
      </w:pPr>
      <w:r>
        <w:rPr>
          <w:b/>
          <w:sz w:val="20"/>
        </w:rPr>
        <w:t>Enhance credential monitoring and enforce multi-factor authentication for all critical systems.</w:t>
      </w:r>
    </w:p>
    <w:p>
      <w:pPr>
        <w:pStyle w:val="ListBullet"/>
      </w:pPr>
      <w:r>
        <w:rPr>
          <w:sz w:val="20"/>
        </w:rPr>
        <w:t>Audit supply chain and vendor access to sensitive research and patient data for potential compromise.</w:t>
      </w:r>
    </w:p>
    <w:p/>
    <w:p>
      <w:pPr>
        <w:pStyle w:val="Heading1"/>
      </w:pPr>
      <w:r>
        <w:rPr>
          <w:rFonts w:ascii="Arial" w:hAnsi="Arial"/>
          <w:color w:val="FF5C41"/>
          <w:sz w:val="28"/>
        </w:rPr>
        <w:t>Resources &amp; Intelligence Sources</w:t>
      </w:r>
    </w:p>
    <w:p>
      <w:r>
        <w:rPr>
          <w:i/>
          <w:color w:val="666666"/>
          <w:sz w:val="20"/>
        </w:rPr>
        <w:t>This report was compiled using the following intelligence sources:</w:t>
      </w:r>
    </w:p>
    <w:p>
      <w:pPr>
        <w:pStyle w:val="ListBullet"/>
      </w:pPr>
      <w:r>
        <w:rPr>
          <w:b/>
          <w:color w:val="333333"/>
          <w:sz w:val="20"/>
        </w:rPr>
        <w:t xml:space="preserve">[1] </w:t>
      </w:r>
      <w:r>
        <w:rPr>
          <w:sz w:val="20"/>
        </w:rPr>
        <w:t>NIST National Vulnerability Database (NVD)</w:t>
      </w:r>
    </w:p>
    <w:p>
      <w:pPr>
        <w:pStyle w:val="ListBullet"/>
      </w:pPr>
      <w:r>
        <w:rPr>
          <w:b/>
          <w:color w:val="333333"/>
          <w:sz w:val="20"/>
        </w:rPr>
        <w:t xml:space="preserve">[2] </w:t>
      </w:r>
      <w:r>
        <w:rPr>
          <w:sz w:val="20"/>
        </w:rPr>
        <w:t>CrowdStrike Falcon Intelligence</w:t>
      </w:r>
    </w:p>
    <w:p/>
    <w:p>
      <w:r>
        <w:rPr>
          <w:b/>
          <w:color w:val="333333"/>
          <w:sz w:val="20"/>
        </w:rPr>
        <w:t>Open Source Intelligence (OSINT) Sources:</w:t>
      </w:r>
    </w:p>
    <w:p>
      <w:pPr>
        <w:pStyle w:val="ListBullet"/>
      </w:pPr>
      <w:r>
        <w:rPr>
          <w:b/>
          <w:color w:val="333333"/>
          <w:sz w:val="16"/>
        </w:rPr>
        <w:t xml:space="preserve">[3] </w:t>
      </w:r>
      <w:hyperlink r:id="rId10">
        <w:r>
          <w:rPr>
            <w:color w:val="0563C1"/>
            <w:u w:val="single"/>
          </w:rPr>
          <w:t>ServiceNow Exploited</w:t>
        </w:r>
      </w:hyperlink>
      <w:r>
        <w:rPr>
          <w:i/>
          <w:color w:val="666666"/>
          <w:sz w:val="16"/>
        </w:rPr>
        <w:t xml:space="preserve"> - Confirms active exploitation of ServiceNow AI Platform CVE-2026-6875.</w:t>
      </w:r>
    </w:p>
    <w:p>
      <w:pPr>
        <w:pStyle w:val="ListBullet"/>
      </w:pPr>
      <w:r>
        <w:rPr>
          <w:b/>
          <w:color w:val="333333"/>
          <w:sz w:val="16"/>
        </w:rPr>
        <w:t xml:space="preserve">[4] </w:t>
      </w:r>
      <w:hyperlink r:id="rId11">
        <w:r>
          <w:rPr>
            <w:color w:val="0563C1"/>
            <w:u w:val="single"/>
          </w:rPr>
          <w:t>Hugging Face Breach</w:t>
        </w:r>
      </w:hyperlink>
      <w:r>
        <w:rPr>
          <w:i/>
          <w:color w:val="666666"/>
          <w:sz w:val="16"/>
        </w:rPr>
        <w:t xml:space="preserve"> - Peer incident affecting AI research and internal datasets.</w:t>
      </w:r>
    </w:p>
    <w:p>
      <w:pPr>
        <w:pStyle w:val="ListBullet"/>
      </w:pPr>
      <w:r>
        <w:rPr>
          <w:b/>
          <w:color w:val="333333"/>
          <w:sz w:val="16"/>
        </w:rPr>
        <w:t xml:space="preserve">[5] </w:t>
      </w:r>
      <w:hyperlink r:id="rId12">
        <w:r>
          <w:rPr>
            <w:color w:val="0563C1"/>
            <w:u w:val="single"/>
          </w:rPr>
          <w:t>WebDAV Malware Lab</w:t>
        </w:r>
      </w:hyperlink>
      <w:r>
        <w:rPr>
          <w:i/>
          <w:color w:val="666666"/>
          <w:sz w:val="16"/>
        </w:rPr>
        <w:t xml:space="preserve"> - Peer incident showing exposed malware delivery infrastructure.</w:t>
      </w:r>
    </w:p>
    <w:p>
      <w:pPr>
        <w:pStyle w:val="ListBullet"/>
      </w:pPr>
      <w:r>
        <w:rPr>
          <w:b/>
          <w:color w:val="333333"/>
          <w:sz w:val="16"/>
        </w:rPr>
        <w:t xml:space="preserve">[6] </w:t>
      </w:r>
      <w:hyperlink r:id="rId13">
        <w:r>
          <w:rPr>
            <w:color w:val="0563C1"/>
            <w:u w:val="single"/>
          </w:rPr>
          <w:t>NGINX Vulnerability</w:t>
        </w:r>
      </w:hyperlink>
      <w:r>
        <w:rPr>
          <w:i/>
          <w:color w:val="666666"/>
          <w:sz w:val="16"/>
        </w:rPr>
        <w:t xml:space="preserve"> - Confirms active exploitation of NGINX CVE-2026-42533.</w:t>
      </w:r>
    </w:p>
    <w:p/>
    <w:p>
      <w:pPr>
        <w:jc w:val="center"/>
      </w:pPr>
      <w:r>
        <w:rPr>
          <w:b/>
          <w:color w:val="333333"/>
          <w:sz w:val="20"/>
        </w:rPr>
        <w:t xml:space="preserve">Questions or suspicious activity: secops@illumina.com | </w:t>
      </w:r>
      <w:hyperlink r:id="rId14">
        <w:r>
          <w:rPr>
            <w:color w:val="0563C1"/>
            <w:u w:val="single"/>
          </w:rPr>
          <w:t>ServiceNow</w:t>
        </w:r>
      </w:hyperlink>
    </w:p>
    <w:p/>
    <w:sectPr w:rsidR="00FC693F" w:rsidRPr="0006063C" w:rsidSect="00034616">
      <w:background w:color="FFFFFF"/>
      <w:pgPr>
        <w:vAlign w:val="top"/>
      </w:pgPr>
      <w:headerReference w:type="default" r:id="rId9"/>
      <w:pgSz w:w="12240" w:h="15840"/>
      <w:pgMar w:top="1800" w:right="1080" w:bottom="1267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6877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ulletin_bann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68777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40" w:after="0"/>
      <w:jc w:val="right"/>
    </w:pPr>
    <w:r>
      <w:rPr>
        <w:rFonts w:ascii="Consolas" w:hAnsi="Consolas"/>
        <w:color w:val="B0B0B0"/>
        <w:sz w:val="16"/>
      </w:rPr>
      <w:t>CTI-WK-2026-30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Arial" w:hAnsi="Arial"/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6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www.bleepingcomputer.com/news/security/critical-servicenow-code-execution-flaw-now-exploited-in-attacks/" TargetMode="External"/><Relationship Id="rId11" Type="http://schemas.openxmlformats.org/officeDocument/2006/relationships/hyperlink" Target="https://www.bleepingcomputer.com/news/security/hugging-face-breach-autonomous-ai-agent-system-internal-datasets-credentials/" TargetMode="External"/><Relationship Id="rId12" Type="http://schemas.openxmlformats.org/officeDocument/2006/relationships/hyperlink" Target="https://www.rapid7.com/blog/post/tr-exposed-webdav-malware-delivery-lab-analysis" TargetMode="External"/><Relationship Id="rId13" Type="http://schemas.openxmlformats.org/officeDocument/2006/relationships/hyperlink" Target="https://thehackernews.com/2026/07/critical-nginx-vulnerability-can-crash.html" TargetMode="External"/><Relationship Id="rId14" Type="http://schemas.openxmlformats.org/officeDocument/2006/relationships/hyperlink" Target="https://illumina.service-now.com/esp?id=sc_cat_item&amp;sys_id=2498318b4fee53c0f628d0af0310c75d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