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CVE-2026-22907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Grafana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E88888"/>
                <w:sz w:val="18"/>
              </w:rPr>
              <w:t>APT41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CVE-2026-22908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GLPI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273929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5CCC7A"/>
                <w:sz w:val="18"/>
              </w:rPr>
              <w:t>None known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HIGH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CVE-2026-0713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Windows Print Spooler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E88888"/>
                <w:sz w:val="18"/>
              </w:rPr>
              <w:t>Ransomware groups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CVE-2021-47757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Apache Log4j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E88888"/>
                <w:sz w:val="18"/>
              </w:rPr>
              <w:t>Multiple actors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CRITICAL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CCA044"/>
                <w:sz w:val="18"/>
              </w:rPr>
              <w:t>6</w:t>
            </w:r>
          </w:p>
        </w:tc>
      </w:tr>
      <w:tr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CVE-2025-98213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VMware vCenter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E88888"/>
                <w:sz w:val="18"/>
              </w:rPr>
              <w:t>APT29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HIGH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CCA044"/>
                <w:sz w:val="18"/>
              </w:rPr>
              <w:t>4</w:t>
            </w:r>
          </w:p>
        </w:tc>
      </w:tr>
      <w:tr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CVE-2025-12345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Microsoft Exchange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CCA044"/>
                <w:sz w:val="18"/>
              </w:rPr>
              <w:t>PoC available</w:t>
            </w:r>
          </w:p>
        </w:tc>
        <w:tc>
          <w:tcPr>
            <w:tcW w:type="dxa" w:w="1680"/>
            <w:shd w:fill="483135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E88888"/>
                <w:sz w:val="18"/>
              </w:rPr>
              <w:t>HIGH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b/>
                <w:color w:val="CCA044"/>
                <w:sz w:val="18"/>
              </w:rPr>
              <w:t>3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CVE-2024-5678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PostgreSQL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273929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5CCC7A"/>
                <w:sz w:val="18"/>
              </w:rPr>
              <w:t>None observed</w:t>
            </w:r>
          </w:p>
        </w:tc>
        <w:tc>
          <w:tcPr>
            <w:tcW w:type="dxa" w:w="1680"/>
            <w:shd w:fill="372E00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CCA044"/>
                <w:sz w:val="18"/>
              </w:rPr>
              <w:t>MEDIUM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CVE-2024-9999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Internal API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000000"/>
                <w:sz w:val="18"/>
              </w:rPr>
              <w:t>Production</w:t>
            </w:r>
          </w:p>
        </w:tc>
        <w:tc>
          <w:tcPr>
            <w:tcW w:type="dxa" w:w="1680"/>
            <w:shd w:fill="273929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5CCC7A"/>
                <w:sz w:val="18"/>
              </w:rPr>
              <w:t>None known</w:t>
            </w:r>
          </w:p>
        </w:tc>
        <w:tc>
          <w:tcPr>
            <w:tcW w:type="dxa" w:w="1680"/>
            <w:shd w:fill="273929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color w:val="5CCC7A"/>
                <w:sz w:val="18"/>
              </w:rPr>
              <w:t>LOW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</w:tcPr>
          <w:p>
            <w:r>
              <w:rPr>
                <w:sz w:val="18"/>
              </w:rPr>
              <w:t>1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Origin / Motivation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Activity Observed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APT41</w:t>
              <w:br/>
              <w:t>(China)</w:t>
              <w:br/>
              <w:t>Espionage / 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Targeting pharmaceutical supply chains via compromised software updates</w:t>
              <w:br/>
              <w:t>TTPs: T1195.002, T1566.001, T1059.001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Lazarus Group</w:t>
              <w:br/>
              <w:t>(North Korea)</w:t>
              <w:br/>
              <w:t>Financial / Espionage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LinkedIn-based social engineering targeting biotech researchers</w:t>
              <w:br/>
              <w:t>TTPs: T1566.003, T1204.002, T1547.001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LockBit Affiliates</w:t>
              <w:br/>
              <w:t>(Russia)</w:t>
              <w:br/>
              <w:t>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Ransomware campaigns against healthcare and manufacturing</w:t>
              <w:br/>
              <w:t>TTPs: T1486, T1490, T1027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