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February 25 to May 26, 2026</w:t>
      </w:r>
    </w:p>
    <w:p/>
    <w:p>
      <w:pPr>
        <w:pStyle w:val="Heading1"/>
        <w:spacing w:after="120"/>
      </w:pPr>
      <w:r>
        <w:rPr>
          <w:rFonts w:ascii="Arial" w:hAnsi="Arial"/>
          <w:color w:val="E65100"/>
          <w:sz w:val="28"/>
        </w:rPr>
        <w:t>Executive Summary</w:t>
      </w:r>
    </w:p>
    <w:p>
      <w:r>
        <w:rPr>
          <w:rFonts w:ascii="Arial" w:hAnsi="Arial"/>
          <w:sz w:val="21"/>
        </w:rPr>
        <w:t>This quarter has seen a sustained increase in cyber threats targeting the technology, healthcare, pharmaceutical, life sciences, and manufacturing sectors. The breach landscape is dominated by ransomware and extortion incidents, with initial access brokers playing a pivotal role in facilitating attacks across industries. Nation state actors, particularly from China, Russia, and North Korea, continue to focus on intellectual property, research data, and operational disruption, posing significant risks to business continuity and competitive advantage. The frequency and impact of breaches underscore the urgent need for robust security controls, enhanced supply chain oversight, and proactive executive engagement. Regulatory scrutiny is intensifying, especially as data privacy and resilience requirements evolve. Peer organizations are experiencing similar threat patterns, with a notable rise in extortion and data exposure events. Strategic investment in security capabilities and third party risk management is critical to maintaining trust, regulatory compliance, and operational stability.</w:t>
      </w:r>
    </w:p>
    <w:p/>
    <w:p>
      <w:pPr>
        <w:pStyle w:val="Heading1"/>
        <w:spacing w:before="240" w:after="120"/>
      </w:pPr>
      <w:r>
        <w:rPr>
          <w:rFonts w:ascii="Arial" w:hAnsi="Arial"/>
          <w:color w:val="E65100"/>
          <w:sz w:val="28"/>
        </w:rPr>
        <w:t>Quarterly Risk Assessment</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Nation-State Espionage</w:t>
            </w:r>
          </w:p>
          <w:p>
            <w:pPr>
              <w:spacing w:before="0" w:after="0"/>
              <w:jc w:val="center"/>
            </w:pPr>
            <w:r>
              <w:rPr>
                <w:rFonts w:ascii="Arial" w:hAnsi="Arial"/>
                <w:b/>
                <w:color w:val="F47F7D"/>
                <w:sz w:val="28"/>
              </w:rPr>
              <w:t>HIGH</w:t>
            </w:r>
          </w:p>
          <w:p>
            <w:pPr>
              <w:spacing w:before="0" w:after="0"/>
              <w:jc w:val="center"/>
            </w:pPr>
            <w:r>
              <w:rPr>
                <w:rFonts w:ascii="Arial" w:hAnsi="Arial"/>
                <w:color w:val="333333"/>
                <w:sz w:val="16"/>
              </w:rPr>
              <w:t>vs Q1: Unchanged</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Ransomware &amp; Extortion</w:t>
            </w:r>
          </w:p>
          <w:p>
            <w:pPr>
              <w:spacing w:before="0" w:after="0"/>
              <w:jc w:val="center"/>
            </w:pPr>
            <w:r>
              <w:rPr>
                <w:rFonts w:ascii="Arial" w:hAnsi="Arial"/>
                <w:b/>
                <w:color w:val="F47F7D"/>
                <w:sz w:val="28"/>
              </w:rPr>
              <w:t>HIGH</w:t>
            </w:r>
          </w:p>
          <w:p>
            <w:pPr>
              <w:spacing w:before="0" w:after="0"/>
              <w:jc w:val="center"/>
            </w:pPr>
            <w:r>
              <w:rPr>
                <w:rFonts w:ascii="Arial" w:hAnsi="Arial"/>
                <w:color w:val="F47F7D"/>
                <w:sz w:val="16"/>
              </w:rPr>
              <w:t>vs Q1: +40%</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Supply Chain Compromise</w:t>
            </w:r>
          </w:p>
          <w:p>
            <w:pPr>
              <w:spacing w:before="0" w:after="0"/>
              <w:jc w:val="center"/>
            </w:pPr>
            <w:r>
              <w:rPr>
                <w:rFonts w:ascii="Arial" w:hAnsi="Arial"/>
                <w:b/>
                <w:color w:val="FFA500"/>
                <w:sz w:val="28"/>
              </w:rPr>
              <w:t>MEDIUM</w:t>
            </w:r>
          </w:p>
          <w:p>
            <w:pPr>
              <w:spacing w:before="0" w:after="0"/>
              <w:jc w:val="center"/>
            </w:pPr>
            <w:r>
              <w:rPr>
                <w:rFonts w:ascii="Arial" w:hAnsi="Arial"/>
                <w:color w:val="333333"/>
                <w:sz w:val="16"/>
              </w:rPr>
              <w:t>vs Q1: Unchanged</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Insider Threat</w:t>
            </w:r>
          </w:p>
          <w:p>
            <w:pPr>
              <w:spacing w:before="0" w:after="0"/>
              <w:jc w:val="center"/>
            </w:pPr>
            <w:r>
              <w:rPr>
                <w:rFonts w:ascii="Arial" w:hAnsi="Arial"/>
                <w:b/>
                <w:color w:val="FFA500"/>
                <w:sz w:val="28"/>
              </w:rPr>
              <w:t>MEDIUM</w:t>
            </w:r>
          </w:p>
          <w:p>
            <w:pPr>
              <w:spacing w:before="0" w:after="0"/>
              <w:jc w:val="center"/>
            </w:pPr>
            <w:r>
              <w:rPr>
                <w:rFonts w:ascii="Arial" w:hAnsi="Arial"/>
                <w:color w:val="333333"/>
                <w:sz w:val="16"/>
              </w:rPr>
              <w:t>vs Q1: Unchanged</w:t>
            </w:r>
          </w:p>
        </w:tc>
      </w:tr>
    </w:tbl>
    <w:p/>
    <w:p>
      <w:pPr>
        <w:pStyle w:val="Heading1"/>
        <w:spacing w:before="240" w:after="120"/>
      </w:pPr>
      <w:r>
        <w:rPr>
          <w:rFonts w:ascii="Arial" w:hAnsi="Arial"/>
          <w:color w:val="E65100"/>
          <w:sz w:val="28"/>
        </w:rPr>
        <w:t>Industry Breach Landscape</w:t>
      </w:r>
    </w:p>
    <w:p>
      <w:r>
        <w:rPr>
          <w:rFonts w:ascii="Arial" w:hAnsi="Arial"/>
          <w:i/>
          <w:color w:val="666666"/>
          <w:sz w:val="18"/>
        </w:rPr>
        <w:t>Publicly disclosed security incidents affecting life sciences, pharmaceutical, biotechnology, healthcare, and advanced manufacturing organizations during Q2 2026.</w:t>
      </w:r>
    </w:p>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20</w:t>
            </w:r>
          </w:p>
          <w:p>
            <w:pPr>
              <w:spacing w:before="0" w:after="0"/>
              <w:jc w:val="center"/>
            </w:pPr>
            <w:r>
              <w:rPr>
                <w:rFonts w:ascii="Arial" w:hAnsi="Arial"/>
                <w:b/>
                <w:color w:val="F0F0F0"/>
                <w:sz w:val="17"/>
              </w:rPr>
              <w:t>Total Incidents</w:t>
            </w:r>
          </w:p>
          <w:p>
            <w:pPr>
              <w:spacing w:before="0" w:after="0"/>
              <w:jc w:val="center"/>
            </w:pPr>
            <w:r>
              <w:rPr>
                <w:rFonts w:ascii="Arial" w:hAnsi="Arial"/>
                <w:color w:val="F0F0F0"/>
                <w:sz w:val="14"/>
              </w:rPr>
              <w:t xml:space="preserve">Q1 2026: 16 </w:t>
            </w:r>
            <w:r>
              <w:rPr>
                <w:rFonts w:ascii="Arial" w:hAnsi="Arial"/>
                <w:color w:val="E65100"/>
                <w:sz w:val="14"/>
              </w:rPr>
              <w:t>+25%</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$120M</w:t>
            </w:r>
          </w:p>
          <w:p>
            <w:pPr>
              <w:spacing w:before="0" w:after="0"/>
              <w:jc w:val="center"/>
            </w:pPr>
            <w:r>
              <w:rPr>
                <w:rFonts w:ascii="Arial" w:hAnsi="Arial"/>
                <w:b/>
                <w:color w:val="F0F0F0"/>
                <w:sz w:val="17"/>
              </w:rPr>
              <w:t>Est. Total Impact</w:t>
            </w:r>
          </w:p>
          <w:p>
            <w:pPr>
              <w:spacing w:before="0" w:after="0"/>
              <w:jc w:val="center"/>
            </w:pPr>
            <w:r>
              <w:rPr>
                <w:rFonts w:ascii="Arial" w:hAnsi="Arial"/>
                <w:color w:val="F0F0F0"/>
                <w:sz w:val="14"/>
              </w:rPr>
              <w:t xml:space="preserve">Q1 2026: $90M </w:t>
            </w:r>
            <w:r>
              <w:rPr>
                <w:rFonts w:ascii="Arial" w:hAnsi="Arial"/>
                <w:color w:val="E65100"/>
                <w:sz w:val="14"/>
              </w:rPr>
              <w:t>+33%</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14</w:t>
            </w:r>
          </w:p>
          <w:p>
            <w:pPr>
              <w:spacing w:before="0" w:after="0"/>
              <w:jc w:val="center"/>
            </w:pPr>
            <w:r>
              <w:rPr>
                <w:rFonts w:ascii="Arial" w:hAnsi="Arial"/>
                <w:b/>
                <w:color w:val="F0F0F0"/>
                <w:sz w:val="17"/>
              </w:rPr>
              <w:t>Ransomware</w:t>
            </w:r>
          </w:p>
          <w:p>
            <w:pPr>
              <w:spacing w:before="0" w:after="0"/>
              <w:jc w:val="center"/>
            </w:pPr>
            <w:r>
              <w:rPr>
                <w:rFonts w:ascii="Arial" w:hAnsi="Arial"/>
                <w:color w:val="F0F0F0"/>
                <w:sz w:val="14"/>
              </w:rPr>
              <w:t xml:space="preserve">Q1 2026: 10 </w:t>
            </w:r>
            <w:r>
              <w:rPr>
                <w:rFonts w:ascii="Arial" w:hAnsi="Arial"/>
                <w:color w:val="E65100"/>
                <w:sz w:val="14"/>
              </w:rPr>
              <w:t>+40%</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8M</w:t>
            </w:r>
          </w:p>
          <w:p>
            <w:pPr>
              <w:spacing w:before="0" w:after="0"/>
              <w:jc w:val="center"/>
            </w:pPr>
            <w:r>
              <w:rPr>
                <w:rFonts w:ascii="Arial" w:hAnsi="Arial"/>
                <w:b/>
                <w:color w:val="F0F0F0"/>
                <w:sz w:val="17"/>
              </w:rPr>
              <w:t>Records Exposed</w:t>
            </w:r>
          </w:p>
          <w:p>
            <w:pPr>
              <w:spacing w:before="0" w:after="0"/>
              <w:jc w:val="center"/>
            </w:pPr>
            <w:r>
              <w:rPr>
                <w:rFonts w:ascii="Arial" w:hAnsi="Arial"/>
                <w:color w:val="F0F0F0"/>
                <w:sz w:val="14"/>
              </w:rPr>
              <w:t xml:space="preserve">Q1 2026: 5M </w:t>
            </w:r>
            <w:r>
              <w:rPr>
                <w:rFonts w:ascii="Arial" w:hAnsi="Arial"/>
                <w:color w:val="E65100"/>
                <w:sz w:val="14"/>
              </w:rPr>
              <w:t>+60%</w:t>
            </w:r>
          </w:p>
        </w:tc>
      </w:tr>
    </w:tbl>
    <w:p/>
    <w:p>
      <w:pPr>
        <w:pStyle w:val="Heading2"/>
        <w:spacing w:after="120"/>
      </w:pPr>
      <w:r>
        <w:rPr>
          <w:rFonts w:ascii="Arial" w:hAnsi="Arial"/>
          <w:color w:val="000000"/>
          <w:sz w:val="24"/>
        </w:rPr>
        <w:t>Incidents by Type</w:t>
      </w:r>
    </w:p>
    <w:tbl>
      <w:tblPr>
        <w:tblW w:type="auto" w:w="0"/>
        <w:tblLook w:firstColumn="1" w:firstRow="1" w:lastColumn="0" w:lastRow="0" w:noHBand="0" w:noVBand="1" w:val="04A0"/>
      </w:tblPr>
      <w:tblGrid>
        <w:gridCol w:w="2160"/>
        <w:gridCol w:w="720"/>
        <w:gridCol w:w="720"/>
        <w:gridCol w:w="6480"/>
      </w:tblGrid>
      <w:tr>
        <w:tc>
          <w:tcPr>
            <w:tcW w:type="dxa" w:w="2520"/>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Incident Type</w:t>
            </w:r>
          </w:p>
        </w:tc>
        <w:tc>
          <w:tcPr>
            <w:tcW w:type="dxa" w:w="2520"/>
            <w:vAlign w:val="center"/>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Q1 2026</w:t>
            </w:r>
          </w:p>
        </w:tc>
        <w:tc>
          <w:tcPr>
            <w:tcW w:type="dxa" w:w="2520"/>
            <w:vAlign w:val="center"/>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Q4 2025</w:t>
            </w:r>
          </w:p>
        </w:tc>
        <w:tc>
          <w:tcPr>
            <w:tcW w:type="dxa" w:w="2520"/>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Notable Example</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Ransomware</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14</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10</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Multiple breaches facilitated by initial access brokers resulted in extortion and large-scale data dumps impacting healthcare and manufacturing organizations.</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Supply Chain</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4</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3</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Third party software compromise led to unauthorized access to sensitive research data in a biotechnology firm.</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Data Exposure</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2</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3</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Database dump exposed millions of patient records in a healthcare provider, triggering regulatory notification requirements.</w:t>
            </w:r>
          </w:p>
        </w:tc>
      </w:tr>
    </w:tbl>
    <w:p/>
    <w:p>
      <w:r>
        <w:rPr>
          <w:rFonts w:ascii="Arial" w:hAnsi="Arial"/>
          <w:b/>
          <w:color w:val="008AC9"/>
          <w:sz w:val="20"/>
        </w:rPr>
        <w:t xml:space="preserve">Common factors across incidents: </w:t>
      </w:r>
      <w:r>
        <w:rPr>
          <w:rFonts w:ascii="Arial" w:hAnsi="Arial"/>
          <w:b w:val="0"/>
          <w:sz w:val="20"/>
        </w:rPr>
        <w:t>Exploitation of unpatched systems (38 percent), compromised credentials (32 percent), third party/vendor compromise (18 percent), lack of multi factor authentication (12 percent)</w:t>
      </w:r>
    </w:p>
    <w:p>
      <w:pPr>
        <w:pStyle w:val="Heading1"/>
        <w:spacing w:before="240" w:after="120"/>
      </w:pPr>
      <w:r>
        <w:rPr>
          <w:rFonts w:ascii="Arial" w:hAnsi="Arial"/>
          <w:color w:val="E65100"/>
          <w:sz w:val="28"/>
        </w:rPr>
        <w:t>Geopolitical Threat Landscape</w:t>
      </w:r>
    </w:p>
    <w:p>
      <w:r>
        <w:rPr>
          <w:rFonts w:ascii="Arial" w:hAnsi="Arial"/>
          <w:i/>
          <w:color w:val="666666"/>
          <w:sz w:val="18"/>
        </w:rPr>
        <w:t>Nation-state cyber activity with implications for the life sciences and genomics sector during Q2 2026.</w:t>
      </w:r>
    </w:p>
    <w:p/>
    <w:p>
      <w:pPr>
        <w:pStyle w:val="Heading2"/>
        <w:spacing w:after="120"/>
      </w:pPr>
      <w:r>
        <w:rPr>
          <w:rFonts w:ascii="Arial" w:hAnsi="Arial"/>
          <w:b/>
          <w:color w:val="000000"/>
          <w:sz w:val="24"/>
        </w:rPr>
        <w:t>China</w:t>
      </w:r>
    </w:p>
    <w:p>
      <w:r>
        <w:rPr>
          <w:rFonts w:ascii="Arial" w:hAnsi="Arial"/>
          <w:b/>
          <w:color w:val="008AC9"/>
          <w:sz w:val="21"/>
        </w:rPr>
        <w:t xml:space="preserve">Strategic Context: </w:t>
      </w:r>
      <w:r>
        <w:rPr>
          <w:rFonts w:ascii="Arial" w:hAnsi="Arial"/>
          <w:b w:val="0"/>
          <w:sz w:val="21"/>
        </w:rPr>
        <w:t>China maintains a strategic focus on acquiring intellectual property and research data from the biotech and genomics sectors, aligning with national priorities in healthcare innovation and economic competitiveness.</w:t>
      </w:r>
    </w:p>
    <w:p>
      <w:pPr>
        <w:spacing w:before="0" w:after="60"/>
      </w:pPr>
    </w:p>
    <w:p>
      <w:r>
        <w:rPr>
          <w:rFonts w:ascii="Arial" w:hAnsi="Arial"/>
          <w:b/>
          <w:color w:val="008AC9"/>
          <w:sz w:val="21"/>
        </w:rPr>
        <w:t xml:space="preserve">Q2 Activity: </w:t>
      </w:r>
      <w:r>
        <w:rPr>
          <w:rFonts w:ascii="Arial" w:hAnsi="Arial"/>
          <w:b w:val="0"/>
          <w:sz w:val="21"/>
        </w:rPr>
        <w:t>This quarter, China-linked actors were observed targeting pharmaceutical, healthcare, and manufacturing organizations, with attempts to access proprietary research and operational systems.</w:t>
      </w:r>
    </w:p>
    <w:p>
      <w:pPr>
        <w:spacing w:before="0" w:after="60"/>
      </w:pPr>
    </w:p>
    <w:p>
      <w:r>
        <w:rPr>
          <w:rFonts w:ascii="Arial" w:hAnsi="Arial"/>
          <w:b/>
          <w:color w:val="008AC9"/>
          <w:sz w:val="21"/>
        </w:rPr>
        <w:t xml:space="preserve">Business Implications: </w:t>
      </w:r>
      <w:r>
        <w:rPr>
          <w:rFonts w:ascii="Arial" w:hAnsi="Arial"/>
          <w:b w:val="0"/>
          <w:sz w:val="21"/>
        </w:rPr>
        <w:t>Business risks include loss of competitive advantage, regulatory exposure, and potential disruption to R&amp;D and manufacturing operations. Increased vigilance is required to protect sensitive data and maintain compliance.</w:t>
      </w:r>
    </w:p>
    <w:p>
      <w:pPr>
        <w:spacing w:before="0" w:after="240"/>
        <w:pBdr>
          <w:bottom w:val="single" w:sz="6" w:space="1" w:color="CCCCCC"/>
        </w:pBdr>
      </w:pPr>
    </w:p>
    <w:p>
      <w:pPr>
        <w:pStyle w:val="Heading2"/>
        <w:spacing w:after="120"/>
      </w:pPr>
      <w:r>
        <w:rPr>
          <w:rFonts w:ascii="Arial" w:hAnsi="Arial"/>
          <w:b/>
          <w:color w:val="000000"/>
          <w:sz w:val="24"/>
        </w:rPr>
        <w:t>Russia</w:t>
      </w:r>
    </w:p>
    <w:p>
      <w:r>
        <w:rPr>
          <w:rFonts w:ascii="Arial" w:hAnsi="Arial"/>
          <w:b/>
          <w:color w:val="008AC9"/>
          <w:sz w:val="21"/>
        </w:rPr>
        <w:t xml:space="preserve">Strategic Context: </w:t>
      </w:r>
      <w:r>
        <w:rPr>
          <w:rFonts w:ascii="Arial" w:hAnsi="Arial"/>
          <w:b w:val="0"/>
          <w:sz w:val="21"/>
        </w:rPr>
        <w:t>Russia continues to be a major driver of the ransomware ecosystem, leveraging criminal groups to target critical sectors for financial gain and operational disruption.</w:t>
      </w:r>
    </w:p>
    <w:p>
      <w:pPr>
        <w:spacing w:before="0" w:after="60"/>
      </w:pPr>
    </w:p>
    <w:p>
      <w:r>
        <w:rPr>
          <w:rFonts w:ascii="Arial" w:hAnsi="Arial"/>
          <w:b/>
          <w:color w:val="008AC9"/>
          <w:sz w:val="21"/>
        </w:rPr>
        <w:t xml:space="preserve">Q2 Activity: </w:t>
      </w:r>
      <w:r>
        <w:rPr>
          <w:rFonts w:ascii="Arial" w:hAnsi="Arial"/>
          <w:b w:val="0"/>
          <w:sz w:val="21"/>
        </w:rPr>
        <w:t>Russian actors were active in ransomware and extortion campaigns against healthcare, pharmaceutical, and manufacturing entities, often exploiting initial access brokers and supply chain vulnerabilities.</w:t>
      </w:r>
    </w:p>
    <w:p>
      <w:pPr>
        <w:spacing w:before="0" w:after="60"/>
      </w:pPr>
    </w:p>
    <w:p>
      <w:r>
        <w:rPr>
          <w:rFonts w:ascii="Arial" w:hAnsi="Arial"/>
          <w:b/>
          <w:color w:val="008AC9"/>
          <w:sz w:val="21"/>
        </w:rPr>
        <w:t xml:space="preserve">Business Implications: </w:t>
      </w:r>
      <w:r>
        <w:rPr>
          <w:rFonts w:ascii="Arial" w:hAnsi="Arial"/>
          <w:b w:val="0"/>
          <w:sz w:val="21"/>
        </w:rPr>
        <w:t>Organizations face heightened risk of business disruption, reputational damage, and regulatory penalties. Investment in ransomware resilience and incident response is essential.</w:t>
      </w:r>
    </w:p>
    <w:p>
      <w:pPr>
        <w:spacing w:before="0" w:after="240"/>
        <w:pBdr>
          <w:bottom w:val="single" w:sz="6" w:space="1" w:color="CCCCCC"/>
        </w:pBdr>
      </w:pPr>
    </w:p>
    <w:p>
      <w:pPr>
        <w:pStyle w:val="Heading2"/>
        <w:spacing w:after="120"/>
      </w:pPr>
      <w:r>
        <w:rPr>
          <w:rFonts w:ascii="Arial" w:hAnsi="Arial"/>
          <w:b/>
          <w:color w:val="000000"/>
          <w:sz w:val="24"/>
        </w:rPr>
        <w:t>North Korea</w:t>
      </w:r>
    </w:p>
    <w:p>
      <w:r>
        <w:rPr>
          <w:rFonts w:ascii="Arial" w:hAnsi="Arial"/>
          <w:b/>
          <w:color w:val="008AC9"/>
          <w:sz w:val="21"/>
        </w:rPr>
        <w:t xml:space="preserve">Strategic Context: </w:t>
      </w:r>
      <w:r>
        <w:rPr>
          <w:rFonts w:ascii="Arial" w:hAnsi="Arial"/>
          <w:b w:val="0"/>
          <w:sz w:val="21"/>
        </w:rPr>
        <w:t>North Korea pursues dual-purpose cyber operations, targeting financial assets and intellectual property to support state objectives and circumvent sanctions.</w:t>
      </w:r>
    </w:p>
    <w:p>
      <w:pPr>
        <w:spacing w:before="0" w:after="60"/>
      </w:pPr>
    </w:p>
    <w:p>
      <w:r>
        <w:rPr>
          <w:rFonts w:ascii="Arial" w:hAnsi="Arial"/>
          <w:b/>
          <w:color w:val="008AC9"/>
          <w:sz w:val="21"/>
        </w:rPr>
        <w:t xml:space="preserve">Q2 Activity: </w:t>
      </w:r>
      <w:r>
        <w:rPr>
          <w:rFonts w:ascii="Arial" w:hAnsi="Arial"/>
          <w:b w:val="0"/>
          <w:sz w:val="21"/>
        </w:rPr>
        <w:t>North Korea-linked actors targeted technology and pharmaceutical sectors, seeking both financial gain and access to research data.</w:t>
      </w:r>
    </w:p>
    <w:p>
      <w:pPr>
        <w:spacing w:before="0" w:after="60"/>
      </w:pPr>
    </w:p>
    <w:p>
      <w:r>
        <w:rPr>
          <w:rFonts w:ascii="Arial" w:hAnsi="Arial"/>
          <w:b/>
          <w:color w:val="008AC9"/>
          <w:sz w:val="21"/>
        </w:rPr>
        <w:t xml:space="preserve">Business Implications: </w:t>
      </w:r>
      <w:r>
        <w:rPr>
          <w:rFonts w:ascii="Arial" w:hAnsi="Arial"/>
          <w:b w:val="0"/>
          <w:sz w:val="21"/>
        </w:rPr>
        <w:t>Risks include financial loss, theft of proprietary information, and increased regulatory scrutiny. Enhanced monitoring and threat intelligence integration are recommended.</w:t>
      </w:r>
    </w:p>
    <w:p>
      <w:pPr>
        <w:spacing w:before="0" w:after="240"/>
        <w:pBdr>
          <w:bottom w:val="single" w:sz="6" w:space="1" w:color="CCCCCC"/>
        </w:pBdr>
      </w:pPr>
    </w:p>
    <w:p>
      <w:pPr>
        <w:pStyle w:val="Heading1"/>
        <w:spacing w:before="240" w:after="120"/>
      </w:pPr>
      <w:r>
        <w:rPr>
          <w:rFonts w:ascii="Arial" w:hAnsi="Arial"/>
          <w:color w:val="E65100"/>
          <w:sz w:val="28"/>
        </w:rPr>
        <w:t>Looking Ahead: Q3 2026</w:t>
      </w:r>
    </w:p>
    <w:p>
      <w:r>
        <w:rPr>
          <w:rFonts w:ascii="Arial" w:hAnsi="Arial"/>
          <w:b/>
          <w:color w:val="008AC9"/>
          <w:sz w:val="21"/>
        </w:rPr>
        <w:t xml:space="preserve">Threat Outlook: </w:t>
      </w:r>
      <w:r>
        <w:rPr>
          <w:rFonts w:ascii="Arial" w:hAnsi="Arial"/>
          <w:b w:val="0"/>
          <w:sz w:val="21"/>
        </w:rPr>
        <w:t>We anticipate continued escalation in ransomware and extortion activity, with nation state actors expanding their targeting of research and manufacturing assets. Supply chain vulnerabilities will remain a primary concern as attackers seek indirect access through vendors and partners.</w:t>
      </w:r>
    </w:p>
    <w:p>
      <w:pPr>
        <w:spacing w:before="0" w:after="60"/>
      </w:pPr>
    </w:p>
    <w:p>
      <w:r>
        <w:rPr>
          <w:rFonts w:ascii="Arial" w:hAnsi="Arial"/>
          <w:b/>
          <w:color w:val="008AC9"/>
          <w:sz w:val="21"/>
        </w:rPr>
        <w:t xml:space="preserve">Planned Initiatives: </w:t>
      </w:r>
      <w:r>
        <w:rPr>
          <w:rFonts w:ascii="Arial" w:hAnsi="Arial"/>
          <w:b w:val="0"/>
          <w:sz w:val="21"/>
        </w:rPr>
        <w:t>Recommended initiatives include strengthening third party risk management, investing in advanced threat detection, expanding executive and board-level cyber awareness, and enhancing incident response capabilities.</w:t>
      </w:r>
    </w:p>
    <w:p>
      <w:pPr>
        <w:spacing w:before="0" w:after="60"/>
      </w:pPr>
    </w:p>
    <w:p>
      <w:r>
        <w:rPr>
          <w:rFonts w:ascii="Arial" w:hAnsi="Arial"/>
          <w:b/>
          <w:color w:val="008AC9"/>
          <w:sz w:val="21"/>
        </w:rPr>
        <w:t xml:space="preserve">Watch Items: </w:t>
      </w:r>
      <w:r>
        <w:rPr>
          <w:rFonts w:ascii="Arial" w:hAnsi="Arial"/>
          <w:b w:val="0"/>
          <w:sz w:val="21"/>
        </w:rPr>
        <w:t>Monitor for new ransomware variants, increased access broker activity, evolving regulatory requirements, and supply chain compromise trends.</w:t>
      </w:r>
    </w:p>
    <w:p>
      <w:pPr>
        <w:pStyle w:val="Heading1"/>
        <w:spacing w:before="240" w:after="120"/>
      </w:pPr>
      <w:r>
        <w:rPr>
          <w:rFonts w:ascii="Arial" w:hAnsi="Arial"/>
          <w:color w:val="E65100"/>
          <w:sz w:val="28"/>
        </w:rPr>
        <w:t>Recommendations for Leadership</w:t>
      </w:r>
    </w:p>
    <w:p>
      <w:pPr>
        <w:pStyle w:val="ListBullet"/>
        <w:spacing w:after="120"/>
      </w:pPr>
      <w:r>
        <w:rPr>
          <w:rFonts w:ascii="Arial" w:hAnsi="Arial"/>
          <w:b/>
          <w:sz w:val="21"/>
        </w:rPr>
        <w:t>Executive AwarenessIncrease executive and board-level engagement in cyber risk discussions, focusing on business impact and regulatory obligations.</w:t>
      </w:r>
    </w:p>
    <w:p>
      <w:pPr>
        <w:pStyle w:val="ListBullet"/>
        <w:spacing w:after="120"/>
      </w:pPr>
      <w:r>
        <w:rPr>
          <w:rFonts w:ascii="Arial" w:hAnsi="Arial"/>
          <w:b/>
          <w:sz w:val="21"/>
        </w:rPr>
        <w:t>Vendor Risk ReviewConduct comprehensive reviews of third party and supply chain security controls, prioritizing critical vendors and partners.</w:t>
      </w:r>
    </w:p>
    <w:p>
      <w:pPr>
        <w:pStyle w:val="ListBullet"/>
        <w:spacing w:after="120"/>
      </w:pPr>
      <w:r>
        <w:rPr>
          <w:rFonts w:ascii="Arial" w:hAnsi="Arial"/>
          <w:b/>
          <w:sz w:val="21"/>
        </w:rPr>
        <w:t>Manufacturing SecurityInvest in operational technology security to protect manufacturing and research environments from ransomware and nation state threats.</w:t>
      </w:r>
    </w:p>
    <w:p>
      <w:pPr>
        <w:pStyle w:val="ListBullet"/>
        <w:spacing w:after="120"/>
      </w:pPr>
      <w:r>
        <w:rPr>
          <w:rFonts w:ascii="Arial" w:hAnsi="Arial"/>
          <w:b/>
          <w:sz w:val="21"/>
        </w:rPr>
        <w:t>Incident ResponseEnhance incident response readiness, including tabletop exercises and rapid communication protocols for executive leadership.</w:t>
      </w:r>
    </w:p>
    <w:p>
      <w:pPr>
        <w:pStyle w:val="ListBullet"/>
        <w:spacing w:after="120"/>
      </w:pPr>
      <w:r>
        <w:rPr>
          <w:rFonts w:ascii="Arial" w:hAnsi="Arial"/>
          <w:b/>
          <w:sz w:val="21"/>
        </w:rPr>
        <w:t>Board ReportingLeverage threat intelligence for strategic board reporting, providing context on peer benchmarks and regulatory trends.</w:t>
      </w:r>
    </w:p>
    <w:p/>
    <w:p>
      <w:pPr>
        <w:pStyle w:val="Heading1"/>
      </w:pPr>
      <w:r>
        <w:rPr>
          <w:rFonts w:ascii="Arial" w:hAnsi="Arial"/>
          <w:color w:val="E65100"/>
          <w:sz w:val="28"/>
        </w:rPr>
        <w:t>Sources</w:t>
      </w:r>
    </w:p>
    <w:p>
      <w:pPr>
        <w:pStyle w:val="ListBullet"/>
      </w:pPr>
      <w:r>
        <w:rPr>
          <w:rFonts w:ascii="Arial" w:hAnsi="Arial"/>
          <w:b/>
          <w:sz w:val="20"/>
        </w:rPr>
        <w:t>CrowdStrike Falcon Intelligence</w:t>
      </w:r>
      <w:r>
        <w:rPr>
          <w:rFonts w:ascii="Arial" w:hAnsi="Arial"/>
          <w:color w:val="666666"/>
          <w:sz w:val="20"/>
        </w:rPr>
        <w:t xml:space="preserve"> — Threat actor profiles, APT campaigns, and adversary tracking</w:t>
      </w:r>
    </w:p>
    <w:p>
      <w:pPr>
        <w:pStyle w:val="ListBullet"/>
      </w:pPr>
      <w:r>
        <w:rPr>
          <w:rFonts w:ascii="Arial" w:hAnsi="Arial"/>
          <w:b/>
          <w:sz w:val="20"/>
        </w:rPr>
        <w:t>Intel471 Titan</w:t>
      </w:r>
      <w:r>
        <w:rPr>
          <w:rFonts w:ascii="Arial" w:hAnsi="Arial"/>
          <w:color w:val="666666"/>
          <w:sz w:val="20"/>
        </w:rPr>
        <w:t xml:space="preserve"> — Underground threat intelligence, breach reporting, and actor monitoring</w:t>
      </w:r>
    </w:p>
    <w:p>
      <w:pPr>
        <w:pStyle w:val="ListBullet"/>
      </w:pPr>
      <w:r>
        <w:rPr>
          <w:rFonts w:ascii="Arial" w:hAnsi="Arial"/>
          <w:b/>
          <w:sz w:val="20"/>
        </w:rPr>
        <w:t>NIST National Vulnerability Database (NVD)</w:t>
      </w:r>
      <w:r>
        <w:rPr>
          <w:rFonts w:ascii="Arial" w:hAnsi="Arial"/>
          <w:color w:val="666666"/>
          <w:sz w:val="20"/>
        </w:rPr>
        <w:t xml:space="preserve">  https://nvd.nist.gov/</w:t>
      </w:r>
    </w:p>
    <w:p>
      <w:pPr>
        <w:pStyle w:val="ListBullet"/>
      </w:pPr>
      <w:r>
        <w:rPr>
          <w:rFonts w:ascii="Arial" w:hAnsi="Arial"/>
          <w:b/>
          <w:sz w:val="20"/>
        </w:rPr>
        <w:t>CISA Known Exploited Vulnerabilities (KEV) Catalog</w:t>
      </w:r>
      <w:r>
        <w:rPr>
          <w:rFonts w:ascii="Arial" w:hAnsi="Arial"/>
          <w:color w:val="666666"/>
          <w:sz w:val="20"/>
        </w:rPr>
        <w:t xml:space="preserve">  https://www.cisa.gov/known-exploited-vulnerabilities-catalog</w:t>
      </w:r>
    </w:p>
    <w:p>
      <w:pPr>
        <w:pStyle w:val="ListBullet"/>
      </w:pPr>
      <w:r>
        <w:rPr>
          <w:rFonts w:ascii="Arial" w:hAnsi="Arial"/>
          <w:b/>
          <w:sz w:val="20"/>
        </w:rPr>
        <w:t>HHS Breach Portal</w:t>
      </w:r>
      <w:r>
        <w:rPr>
          <w:rFonts w:ascii="Arial" w:hAnsi="Arial"/>
          <w:color w:val="666666"/>
          <w:sz w:val="20"/>
        </w:rPr>
        <w:t xml:space="preserve">  https://ocrportal.hhs.gov/ocr/breach/breach_report.jsf</w:t>
      </w:r>
    </w:p>
    <w:p>
      <w:pPr>
        <w:pStyle w:val="ListBullet"/>
      </w:pPr>
      <w:r>
        <w:rPr>
          <w:rFonts w:ascii="Arial" w:hAnsi="Arial"/>
          <w:b/>
          <w:sz w:val="20"/>
        </w:rPr>
        <w:t>FBI Internet Crime Complaint Center (IC3)</w:t>
      </w:r>
      <w:r>
        <w:rPr>
          <w:rFonts w:ascii="Arial" w:hAnsi="Arial"/>
          <w:color w:val="666666"/>
          <w:sz w:val="20"/>
        </w:rPr>
        <w:t xml:space="preserve">  https://www.ic3.gov/</w:t>
      </w:r>
    </w:p>
    <w:p>
      <w:pPr>
        <w:pStyle w:val="ListBullet"/>
      </w:pPr>
      <w:r>
        <w:rPr>
          <w:rFonts w:ascii="Arial" w:hAnsi="Arial"/>
          <w:b/>
          <w:sz w:val="20"/>
        </w:rPr>
        <w:t>SEC EDGAR Filings</w:t>
      </w:r>
      <w:r>
        <w:rPr>
          <w:rFonts w:ascii="Arial" w:hAnsi="Arial"/>
          <w:color w:val="666666"/>
          <w:sz w:val="20"/>
        </w:rPr>
        <w:t xml:space="preserve">  https://www.sec.gov/cgi-bin/browse-edgar</w:t>
      </w:r>
    </w:p>
    <w:p>
      <w:pPr>
        <w:pStyle w:val="ListBullet"/>
      </w:pPr>
      <w:r>
        <w:rPr>
          <w:rFonts w:ascii="Arial" w:hAnsi="Arial"/>
          <w:b/>
          <w:sz w:val="20"/>
        </w:rPr>
        <w:t>MITRE ATT&amp;CK</w:t>
      </w:r>
      <w:r>
        <w:rPr>
          <w:rFonts w:ascii="Arial" w:hAnsi="Arial"/>
          <w:color w:val="666666"/>
          <w:sz w:val="20"/>
        </w:rPr>
        <w:t xml:space="preserve">  https://attack.mitre.org/</w:t>
      </w:r>
    </w:p>
    <w:p>
      <w:pPr>
        <w:pStyle w:val="ListBullet"/>
      </w:pPr>
      <w:r>
        <w:rPr>
          <w:rFonts w:ascii="Arial" w:hAnsi="Arial"/>
          <w:b/>
          <w:sz w:val="20"/>
        </w:rPr>
        <w:t>Open Source Intelligence (OSINT)</w:t>
      </w:r>
      <w:r>
        <w:rPr>
          <w:rFonts w:ascii="Arial" w:hAnsi="Arial"/>
          <w:color w:val="666666"/>
          <w:sz w:val="20"/>
        </w:rPr>
        <w:t xml:space="preserve"> — Industry publications, state AG notifications, and vendor advisories</w:t>
      </w:r>
    </w:p>
    <w:p/>
    <w:p>
      <w:pPr>
        <w:jc w:val="left"/>
      </w:pPr>
      <w:r>
        <w:rPr>
          <w:rFonts w:ascii="Arial" w:hAnsi="Arial"/>
          <w:b/>
          <w:color w:val="555555"/>
          <w:sz w:val="20"/>
          <w:u w:val="none"/>
        </w:rPr>
        <w:t>Prepared by: Cyber Threat Intelligence | cti@illumina.com</w:t>
      </w:r>
    </w:p>
    <w:p/>
    <w:sectPr w:rsidR="00FC693F" w:rsidRPr="0006063C" w:rsidSect="00034616">
      <w:pgPr>
        <w:vAlign w:val="top"/>
      </w:pgPr>
      <w:headerReference w:type="default" r:id="rId9"/>
      <w:footerReference w:type="default" r:id="rId10"/>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