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7-Day Lookback | May 19 to May 26,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This week's threat landscape for our genomics and biotechnology environment is dominated by vulnerabilities in WordPress plugins, with several severe and critical exposures detected across multiple systems. These vulnerabilities include SQL injection, cross-site scripting, missing authorization, and sensitive information exposure, all of which could be leveraged to compromise research data, intellectual property, and patient information. Of particular concern are vulnerabilities such as CVE-2025-64293 (SQL injection) and CVE-2024-13609 (sensitive information exposure), which could enable attackers to access or manipulate sensitive records. Additionally, vulnerabilities in plugins like 12 Step Meeting List and 1 Click Migration pose risks of unauthorized access and data leakage, potentially impacting regulatory compliance and operational integrity. Threat actors targeting the healthcare and manufacturing sectors, including criminal and state-sponsored groups, remain highly active, increasing the likelihood of exploitation. While several industry threats such as AI-driven DDoS attacks and supply chain vulnerabilities are not currently detected in our environment, they should be monitored closely for emerging risks [1]. Immediate remediation and enhanced monitoring are recommended to mitigate the risk of data loss, service disruption, and regulatory violations.</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Vulnerability and threat actor metrics from automated collection (May 19 to May 26, 2026).</w:t>
      </w: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0</w:t>
            </w:r>
          </w:p>
          <w:p>
            <w:pPr>
              <w:spacing w:before="0" w:after="40"/>
              <w:jc w:val="center"/>
            </w:pPr>
            <w:r>
              <w:rPr>
                <w:b/>
                <w:color w:val="000000"/>
                <w:sz w:val="20"/>
              </w:rPr>
              <w:t>New This Week</w:t>
            </w:r>
          </w:p>
          <w:p>
            <w:pPr>
              <w:spacing w:before="0" w:after="160"/>
              <w:jc w:val="center"/>
            </w:pPr>
            <w:r>
              <w:rPr>
                <w:rFonts w:ascii="Arial" w:hAnsi="Arial"/>
                <w:color w:val="666666"/>
                <w:sz w:val="16"/>
              </w:rPr>
              <w:t>First appearance in Rapid7 scans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21</w:t>
            </w:r>
          </w:p>
          <w:p>
            <w:pPr>
              <w:spacing w:before="0" w:after="40"/>
              <w:jc w:val="center"/>
            </w:pPr>
            <w:r>
              <w:rPr>
                <w:b/>
                <w:color w:val="000000"/>
                <w:sz w:val="20"/>
              </w:rPr>
              <w:t>Persistent (3+ Wks)</w:t>
            </w:r>
          </w:p>
          <w:p>
            <w:pPr>
              <w:spacing w:before="0" w:after="160"/>
              <w:jc w:val="center"/>
            </w:pPr>
            <w:r>
              <w:rPr>
                <w:rFonts w:ascii="Arial" w:hAnsi="Arial"/>
                <w:color w:val="666666"/>
                <w:sz w:val="16"/>
              </w:rPr>
              <w:t>Unresolved from prior reports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2ECC71"/>
                <w:sz w:val="44"/>
              </w:rPr>
              <w:t>0</w:t>
            </w:r>
          </w:p>
          <w:p>
            <w:pPr>
              <w:spacing w:before="0" w:after="40"/>
              <w:jc w:val="center"/>
            </w:pPr>
            <w:r>
              <w:rPr>
                <w:b/>
                <w:color w:val="000000"/>
                <w:sz w:val="20"/>
              </w:rPr>
              <w:t>Resolved</w:t>
            </w:r>
          </w:p>
          <w:p>
            <w:pPr>
              <w:spacing w:before="0" w:after="160"/>
              <w:jc w:val="center"/>
            </w:pPr>
            <w:r>
              <w:rPr>
                <w:rFonts w:ascii="Arial" w:hAnsi="Arial"/>
                <w:color w:val="666666"/>
                <w:sz w:val="16"/>
              </w:rPr>
              <w:t>Remediated since last week</w:t>
            </w:r>
          </w:p>
        </w:tc>
      </w:tr>
    </w:tbl>
    <w:p>
      <w:pPr>
        <w:spacing w:before="0" w:after="400"/>
      </w:pP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22</w:t>
            </w:r>
          </w:p>
          <w:p>
            <w:pPr>
              <w:spacing w:before="0" w:after="40"/>
              <w:jc w:val="center"/>
            </w:pPr>
            <w:r>
              <w:rPr>
                <w:b/>
                <w:color w:val="000000"/>
                <w:sz w:val="20"/>
              </w:rPr>
              <w:t>Total Exposed</w:t>
            </w:r>
          </w:p>
          <w:p>
            <w:pPr>
              <w:spacing w:before="0" w:after="160"/>
              <w:jc w:val="center"/>
            </w:pPr>
            <w:r>
              <w:rPr>
                <w:rFonts w:ascii="Arial" w:hAnsi="Arial"/>
                <w:color w:val="666666"/>
                <w:sz w:val="16"/>
              </w:rPr>
              <w:t>CVEs on assets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0</w:t>
            </w:r>
          </w:p>
          <w:p>
            <w:pPr>
              <w:spacing w:before="0" w:after="40"/>
              <w:jc w:val="center"/>
            </w:pPr>
            <w:r>
              <w:rPr>
                <w:b/>
                <w:color w:val="000000"/>
                <w:sz w:val="20"/>
              </w:rPr>
              <w:t>Actively Exploited</w:t>
            </w:r>
          </w:p>
          <w:p>
            <w:pPr>
              <w:spacing w:before="0" w:after="160"/>
              <w:jc w:val="center"/>
            </w:pPr>
            <w:r>
              <w:rPr>
                <w:rFonts w:ascii="Arial" w:hAnsi="Arial"/>
                <w:color w:val="666666"/>
                <w:sz w:val="16"/>
              </w:rPr>
              <w:t>Confirmed threat actor use</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5</w:t>
            </w:r>
          </w:p>
          <w:p>
            <w:pPr>
              <w:spacing w:before="0" w:after="40"/>
              <w:jc w:val="center"/>
            </w:pPr>
            <w:r>
              <w:rPr>
                <w:b/>
                <w:color w:val="000000"/>
                <w:sz w:val="20"/>
              </w:rPr>
              <w:t>Actor Groups</w:t>
            </w:r>
          </w:p>
          <w:p>
            <w:pPr>
              <w:spacing w:before="0" w:after="160"/>
              <w:jc w:val="center"/>
            </w:pPr>
            <w:r>
              <w:rPr>
                <w:rFonts w:ascii="Arial" w:hAnsi="Arial"/>
                <w:color w:val="666666"/>
                <w:sz w:val="16"/>
              </w:rPr>
              <w:t>Targeting biotech sector</w:t>
            </w:r>
          </w:p>
        </w:tc>
      </w:tr>
    </w:tbl>
    <w:p>
      <w:pPr>
        <w:spacing w:before="0" w:after="120"/>
      </w:pPr>
    </w:p>
    <w:p>
      <w:pPr>
        <w:pStyle w:val="Heading1"/>
      </w:pPr>
      <w:r>
        <w:rPr>
          <w:rFonts w:ascii="Arial" w:hAnsi="Arial"/>
          <w:color w:val="FF5C41"/>
          <w:sz w:val="28"/>
        </w:rPr>
        <w:t>Vulnerability Exposure</w:t>
      </w:r>
    </w:p>
    <w:p>
      <w:r>
        <w:rPr>
          <w:i/>
          <w:color w:val="333333"/>
          <w:sz w:val="16"/>
        </w:rPr>
        <w:t>Bright red background indicates active exploitation (CISA KEV, ransomware, or threat actors)</w:t>
      </w:r>
    </w:p>
    <w:tbl>
      <w:tblPr>
        <w:tblW w:type="auto" w:w="0"/>
        <w:tblLook w:firstColumn="1" w:firstRow="1" w:lastColumn="0" w:lastRow="0" w:noHBand="0" w:noVBand="1" w:val="04A0"/>
      </w:tblPr>
      <w:tblGrid>
        <w:gridCol w:w="2520"/>
        <w:gridCol w:w="2520"/>
        <w:gridCol w:w="2520"/>
        <w:gridCol w:w="2520"/>
      </w:tblGrid>
      <w:tr>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Item</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Affected Product/Technology</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Exposure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Wks</w:t>
            </w:r>
          </w:p>
        </w:tc>
      </w:tr>
      <w:tr>
        <w:tc>
          <w:tcPr>
            <w:tcW w:type="dxa" w:w="2520"/>
            <w:tcBorders>
              <w:top w:val="single" w:sz="4" w:space="0" w:color="CCCCCC"/>
              <w:bottom w:val="single" w:sz="4" w:space="0" w:color="CCCCCC"/>
              <w:left w:val="single" w:sz="4" w:space="0" w:color="CCCCCC"/>
              <w:right w:val="single" w:sz="4" w:space="0" w:color="CCCCCC"/>
            </w:tcBorders>
          </w:tcPr>
          <w:p>
            <w:r>
              <w:rPr>
                <w:b/>
                <w:color w:val="333333"/>
                <w:sz w:val="18"/>
              </w:rPr>
              <w:t>WordPress Products</w:t>
              <w:br/>
              <w:t>(22 CVEs)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Multiple products (22 vulnerabilities)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22 systems</w:t>
            </w:r>
          </w:p>
        </w:tc>
        <w:tc>
          <w:tcPr>
            <w:tcW w:type="dxa" w:w="252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53</w:t>
            </w:r>
          </w:p>
        </w:tc>
      </w:tr>
    </w:tbl>
    <w:p>
      <w:pPr>
        <w:jc w:val="left"/>
      </w:pPr>
      <w:r>
        <w:rPr>
          <w:rFonts w:ascii="Arial" w:hAnsi="Arial"/>
          <w:i/>
          <w:color w:val="666666"/>
          <w:sz w:val="14"/>
        </w:rPr>
        <w:t>Wks = consecutive weeks detected. Items at 3+ weeks (yellow) require escalation, 4+ weeks (red) are overdue. Bright red background indicates active exploitation (CISA KEV, ransomware, or threat actors). Table shows 0 individual CVEs (top by exposure/severity) and 1 technology groups covering 22 CVEs. Total: 22 CVEs detected. Source: Rapid7 InsightVM, CISA KEV, Intel471, CrowdStrike.</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HOOK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unusual file access, database dumps, and extortion attempts. Watch for ransomware indicators.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TRAVELING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exploit kits, privilege escalation attempts, and suspicious outbound connections.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VICE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extortion attempts, database dumps, and ransomware activity.</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BITWISE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exploit kits, credential harvesting, and suspicious network activity.</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Iran</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HYDRO KITTEN</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DLL side-loading, PowerShell activity, and unauthorized access to sensitive data.</w:t>
            </w:r>
          </w:p>
        </w:tc>
      </w:tr>
    </w:tbl>
    <w:p/>
    <w:p>
      <w:pPr>
        <w:pStyle w:val="Heading1"/>
      </w:pPr>
      <w:r>
        <w:rPr>
          <w:rFonts w:ascii="Arial" w:hAnsi="Arial"/>
          <w:color w:val="FF5C41"/>
          <w:sz w:val="28"/>
        </w:rPr>
        <w:t>Recommended Actions</w:t>
      </w:r>
    </w:p>
    <w:p>
      <w:pPr>
        <w:pStyle w:val="ListBullet"/>
      </w:pPr>
      <w:r>
        <w:rPr>
          <w:b/>
          <w:sz w:val="20"/>
        </w:rPr>
        <w:t>Patch all affected WordPress plugins and themes immediately, prioritizing those with SQL injection and sensitive information exposure vulnerabilities.</w:t>
      </w:r>
    </w:p>
    <w:p>
      <w:pPr>
        <w:pStyle w:val="ListBullet"/>
      </w:pPr>
      <w:r>
        <w:rPr>
          <w:sz w:val="20"/>
        </w:rPr>
        <w:t>Audit user permissions and roles within WordPress to ensure only authorized personnel have access to sensitive functions and data.</w:t>
      </w:r>
    </w:p>
    <w:p>
      <w:pPr>
        <w:pStyle w:val="ListBullet"/>
      </w:pPr>
      <w:r>
        <w:rPr>
          <w:sz w:val="20"/>
        </w:rPr>
        <w:t>Implement web application firewalls and monitor for signs of cross-site scripting, SQL injection, and unauthorized access attempts.</w:t>
      </w:r>
    </w:p>
    <w:p>
      <w:pPr>
        <w:pStyle w:val="ListBullet"/>
      </w:pPr>
      <w:r>
        <w:rPr>
          <w:sz w:val="20"/>
        </w:rPr>
        <w:t>Review and strengthen backup and export workflows to prevent CSV injection and data leakage.</w:t>
      </w:r>
    </w:p>
    <w:p>
      <w:pPr>
        <w:pStyle w:val="ListBullet"/>
      </w:pPr>
      <w:r>
        <w:rPr>
          <w:sz w:val="20"/>
        </w:rPr>
        <w:t>Monitor for signs of ransomware, extortion, and database dumps, especially in systems storing research and patient data.</w:t>
      </w:r>
    </w:p>
    <w:p/>
    <w:p>
      <w:pPr>
        <w:pStyle w:val="Heading1"/>
      </w:pPr>
      <w:r>
        <w:rPr>
          <w:rFonts w:ascii="Arial" w:hAnsi="Arial"/>
          <w:color w:val="FF5C41"/>
          <w:sz w:val="28"/>
        </w:rPr>
        <w:t>Resources &amp; Intelligence Sources</w:t>
      </w:r>
    </w:p>
    <w:p>
      <w:r>
        <w:rPr>
          <w:i/>
          <w:color w:val="666666"/>
          <w:sz w:val="20"/>
        </w:rPr>
        <w:t>This report was compiled using the following intelligence sources:</w:t>
      </w:r>
    </w:p>
    <w:p>
      <w:pPr>
        <w:pStyle w:val="ListBullet"/>
      </w:pPr>
      <w:r>
        <w:rPr>
          <w:sz w:val="20"/>
        </w:rPr>
        <w:t>NIST National Vulnerability Database (NVD)</w:t>
      </w:r>
    </w:p>
    <w:p>
      <w:pPr>
        <w:pStyle w:val="ListBullet"/>
      </w:pPr>
      <w:r>
        <w:rPr>
          <w:sz w:val="20"/>
        </w:rPr>
        <w:t>CISA Known Exploited Vulnerabilities (KEV) Catalog</w:t>
      </w:r>
    </w:p>
    <w:p>
      <w:pPr>
        <w:pStyle w:val="ListBullet"/>
      </w:pPr>
      <w:r>
        <w:rPr>
          <w:sz w:val="20"/>
        </w:rPr>
        <w:t>Rapid7 InsightVM vulnerability scanning platform</w:t>
      </w:r>
    </w:p>
    <w:p>
      <w:pPr>
        <w:pStyle w:val="ListBullet"/>
      </w:pPr>
      <w:r>
        <w:rPr>
          <w:sz w:val="20"/>
        </w:rPr>
        <w:t>CrowdStrike Falcon Intelligence</w:t>
      </w:r>
    </w:p>
    <w:p>
      <w:pPr>
        <w:pStyle w:val="ListBullet"/>
      </w:pPr>
      <w:r>
        <w:rPr>
          <w:sz w:val="20"/>
        </w:rPr>
        <w:t>Intel471 Titan threat intelligence platform</w:t>
      </w:r>
    </w:p>
    <w:p>
      <w:pPr>
        <w:pStyle w:val="ListBullet"/>
      </w:pPr>
      <w:r>
        <w:rPr>
          <w:sz w:val="20"/>
        </w:rPr>
        <w:t>ThreatQ threat intelligence management platform</w:t>
      </w:r>
    </w:p>
    <w:p>
      <w:pPr>
        <w:pStyle w:val="ListBullet"/>
      </w:pPr>
      <w:r>
        <w:rPr>
          <w:sz w:val="20"/>
        </w:rPr>
        <w:t>MITRE ATT&amp;CK Framework</w:t>
      </w:r>
    </w:p>
    <w:p/>
    <w:p>
      <w:r>
        <w:rPr>
          <w:b/>
          <w:color w:val="333333"/>
          <w:sz w:val="20"/>
        </w:rPr>
        <w:t>Open Source Intelligence (OSINT) Sources:</w:t>
      </w:r>
    </w:p>
    <w:p>
      <w:pPr>
        <w:pStyle w:val="ListBullet"/>
      </w:pPr>
      <w:r>
        <w:rPr>
          <w:b/>
          <w:color w:val="333333"/>
          <w:sz w:val="16"/>
        </w:rPr>
        <w:t xml:space="preserve">[1] </w:t>
      </w:r>
      <w:hyperlink r:id="rId10">
        <w:r>
          <w:rPr>
            <w:color w:val="0563C1"/>
            <w:u w:val="single"/>
          </w:rPr>
          <w:t>AI DDoS Attacks</w:t>
        </w:r>
      </w:hyperlink>
      <w:r>
        <w:rPr>
          <w:i/>
          <w:color w:val="666666"/>
          <w:sz w:val="16"/>
        </w:rPr>
        <w:t xml:space="preserve"> - Highlights emerging AI-driven DDoS threats relevant to biotech and healthcare environments.</w:t>
      </w:r>
    </w:p>
    <w:p/>
    <w:p/>
    <w:tbl>
      <w:tblPr>
        <w:tblW w:type="auto" w:w="0"/>
        <w:tblLook w:firstColumn="1" w:firstRow="1" w:lastColumn="0" w:lastRow="0" w:noHBand="0" w:noVBand="1" w:val="04A0"/>
      </w:tblPr>
      <w:tblGrid>
        <w:gridCol w:w="10080"/>
      </w:tblGrid>
      <w:tr>
        <w:tc>
          <w:tcPr>
            <w:tcW w:type="dxa" w:w="10080"/>
            <w:shd w:fill="E8F4F8" w:val="clear" w:color="auto"/>
            <w:tcBorders>
              <w:top w:val="single" w:sz="8" w:space="0" w:color="B0D4E3"/>
              <w:bottom w:val="single" w:sz="8" w:space="0" w:color="B0D4E3"/>
              <w:left w:val="single" w:sz="8" w:space="0" w:color="B0D4E3"/>
              <w:right w:val="single" w:sz="8" w:space="0" w:color="B0D4E3"/>
            </w:tcBorders>
          </w:tcPr>
          <w:p>
            <w:pPr>
              <w:spacing w:after="80"/>
            </w:pPr>
            <w:r>
              <w:rPr>
                <w:rFonts w:ascii="Arial" w:hAnsi="Arial"/>
                <w:b/>
                <w:color w:val="333333"/>
                <w:sz w:val="20"/>
              </w:rPr>
              <w:t>AI-Generated Intelligence Report</w:t>
            </w:r>
          </w:p>
          <w:p>
            <w:pPr>
              <w:spacing w:before="0" w:after="120" w:line="276" w:lineRule="auto"/>
            </w:pPr>
            <w:r>
              <w:rPr>
                <w:rFonts w:ascii="Arial" w:hAnsi="Arial"/>
                <w:color w:val="666666"/>
                <w:sz w:val="16"/>
              </w:rPr>
              <w:t>This report was generated using AI-powered analysis to curate and correlate threat intelligence. Vulnerability and threat actor data are sourced from the intelligence platforms listed in the Resources section above. The analysis identifies threats actively exploited in the wild or targeting the manufacturing, biotech, medical device, clinical, and genomics industries. All CVEs listed have been detected in our environment through automated scanning.</w:t>
            </w:r>
          </w:p>
        </w:tc>
      </w:tr>
    </w:tbl>
    <w:p/>
    <w:p>
      <w:pPr>
        <w:jc w:val="center"/>
      </w:pPr>
      <w:r>
        <w:rPr>
          <w:b/>
          <w:sz w:val="20"/>
        </w:rPr>
        <w:t>Questions or suspicious activity: secops@illumina.com | ServiceNow</w:t>
      </w:r>
    </w:p>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thehackernews.com/2026/05/new-ai-ddos-attacks-are-smarter-learn.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