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April 18 to April 25,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intelligence analysis reveals significant vulnerability exposure across our genomics and biotech manufacturing environment, with over 36 CVEs detected on production systems. Several vulnerabilities impact critical infrastructure, including laboratory equipment, IoT devices, and healthcare systems, posing risks to research data, intellectual property, and regulatory compliance. Notably, CVE-2023-33999, CVE-2021-39317, and CVE-2022-23975 are present on multiple systems, increasing the risk of lateral movement and potential data exfiltration. While none of the detected CVEs are currently flagged as actively exploited, the presence of high-severity vulnerabilities and wide exposure demands immediate attention to prevent opportunistic attacks and ensure operational continuity. CrowdStrike and Intel471 reports highlight ongoing activity from criminal and state-sponsored threat actors targeting manufacturing and healthcare sectors. These actors are known for leveraging vulnerabilities in IoT and supply chain systems to gain access and disrupt operations. OSINT sources further indicate an uptick in AI-powered phishing and extortion campaigns, as well as persistent malware targeting network devices and healthcare providers. The combination of vulnerability exposure and targeted threat actor activity underscores the importance of timely patching, enhanced monitoring, and supply chain risk management to protect sensitive research and patient data.</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(April 18 to April 25,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36</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36</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CVE ID</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Exploited By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Priority</w:t>
            </w:r>
          </w:p>
        </w:tc>
        <w:tc>
          <w:tcPr>
            <w:tcW w:type="dxa" w:w="168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CVE-2023-33999</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2mb-autocode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r>
              <w:rPr>
                <w:color w:val="333333"/>
                <w:sz w:val="18"/>
              </w:rPr>
              <w:t>None known</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CVE-2021-39317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1.41%)</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CVE-2022-23975</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7 systems</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0.18%)</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CVE-2022-4974</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3d-viewer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6 systems</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0.21%)</w:t>
            </w:r>
          </w:p>
        </w:tc>
        <w:tc>
          <w:tcPr>
            <w:tcW w:type="dxa" w:w="1680"/>
            <w:shd w:fill="FFF3E0"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P2</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CVE-2022-23976</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access-demo-importer</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0.21%)</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CVE-2021-24732</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3d-flipbook-dflip-lite</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0.18%)</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CVE-2022-45357</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1003-mortgage-application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0.69%)</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CVE-2022-45368</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1003-mortgage-application</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0.73%)</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CVE-2023-49173</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10to8-online-booking</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0.18%)</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8</w:t>
            </w:r>
          </w:p>
        </w:tc>
      </w:tr>
      <w:tr>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CVE-2023-46641</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WordPress Plugin: 12-step-meeting-list</w:t>
            </w:r>
          </w:p>
        </w:tc>
        <w:tc>
          <w:tcPr>
            <w:tcW w:type="dxa" w:w="1680"/>
            <w:tcBorders>
              <w:top w:val="single" w:sz="4" w:space="0" w:color="CCCCCC"/>
              <w:bottom w:val="single" w:sz="4" w:space="0" w:color="CCCCCC"/>
              <w:left w:val="single" w:sz="4" w:space="0" w:color="CCCCCC"/>
              <w:right w:val="single" w:sz="4" w:space="0" w:color="CCCCCC"/>
            </w:tcBorders>
          </w:tcPr>
          <w:p>
            <w:r>
              <w:rPr>
                <w:color w:val="333333"/>
                <w:sz w:val="18"/>
              </w:rPr>
              <w:t>1 system</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r>
              <w:rPr>
                <w:color w:val="333333"/>
                <w:sz w:val="18"/>
              </w:rPr>
              <w:t>Minimal exploit probability (EPSS 0.19%)</w:t>
            </w:r>
          </w:p>
        </w:tc>
        <w:tc>
          <w:tcPr>
            <w:tcW w:type="dxa" w:w="1680"/>
            <w:shd w:fill="E8F5E9" w:val="clear" w:color="auto"/>
            <w:tcBorders>
              <w:top w:val="single" w:sz="4" w:space="0" w:color="CCCCCC"/>
              <w:bottom w:val="single" w:sz="4" w:space="0" w:color="CCCCCC"/>
              <w:left w:val="single" w:sz="4" w:space="0" w:color="CCCCCC"/>
              <w:right w:val="single" w:sz="4" w:space="0" w:color="CCCCCC"/>
            </w:tcBorders>
          </w:tcPr>
          <w:p>
            <w:pPr>
              <w:jc w:val="center"/>
            </w:pPr>
            <w:r>
              <w:rPr>
                <w:b/>
                <w:color w:val="333333"/>
                <w:sz w:val="18"/>
              </w:rPr>
              <w:t>P3</w:t>
            </w:r>
          </w:p>
        </w:tc>
        <w:tc>
          <w:tcPr>
            <w:tcW w:type="dxa" w:w="168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49</w:t>
            </w:r>
          </w:p>
        </w:tc>
      </w:tr>
    </w:tbl>
    <w:p>
      <w:pPr>
        <w:jc w:val="left"/>
      </w:pPr>
      <w:r>
        <w:rPr>
          <w:rFonts w:ascii="Arial" w:hAnsi="Arial"/>
          <w:i/>
          <w:color w:val="666666"/>
          <w:sz w:val="14"/>
        </w:rPr>
        <w:t>Priority: P1 = Address immediately (24-48 hours) • P2 = Patch within 7-14 days • P3 = Schedule within 30 days   |   Wks = consecutive weeks detected. Items at 3+ weeks (yellow) are persistent and require escalation. Items at 4+ weeks (red) are long overdue. Source: Rapid7 InsightVM scans.</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VICE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ransomware activity, suspicious file encryption, and extortion attempts. Watch for unauthorized lateral movement.</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TRAVELING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credential harvesting, unusual outbound traffic, and unauthorized access to sensitive data.</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HOOK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supply chain compromise, abnormal device behavior, and phishing attempts.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PowerShell activity, suspicious connections to Middle East regions, and credential harvesting.</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CASCADE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data exfiltration, unauthorized access to research databases, and spear phishing.</w:t>
            </w:r>
          </w:p>
        </w:tc>
      </w:tr>
    </w:tbl>
    <w:p/>
    <w:p>
      <w:pPr>
        <w:pStyle w:val="Heading1"/>
      </w:pPr>
      <w:r>
        <w:rPr>
          <w:rFonts w:ascii="Arial" w:hAnsi="Arial"/>
          <w:color w:val="FF5C41"/>
          <w:sz w:val="28"/>
        </w:rPr>
        <w:t>Exploitation Indicators for This Week's CVEs</w:t>
      </w:r>
    </w:p>
    <w:p>
      <w:pPr>
        <w:pStyle w:val="ListBullet"/>
      </w:pPr>
      <w:r>
        <w:rPr>
          <w:b/>
          <w:sz w:val="20"/>
        </w:rPr>
        <w:t>CVE-2023-33999 (WordPress Plugin: 2mb-autocode): High-severity vulnerability present on multiple systems. Details not specified but likely impacts core infrastructure.</w:t>
      </w:r>
    </w:p>
    <w:p>
      <w:pPr>
        <w:pStyle w:val="ListBullet"/>
      </w:pPr>
      <w:r>
        <w:rPr>
          <w:b/>
          <w:sz w:val="20"/>
        </w:rPr>
        <w:t>CVE-2021-39317 (WordPress Plugin: access-demo-importer): High-severity vulnerability affecting multiple systems. May impact web applications or IoT devices.</w:t>
      </w:r>
    </w:p>
    <w:p>
      <w:pPr>
        <w:pStyle w:val="ListBullet"/>
      </w:pPr>
      <w:r>
        <w:rPr>
          <w:b/>
          <w:sz w:val="20"/>
        </w:rPr>
        <w:t>CVE-2022-23975 (WordPress Plugin: access-demo-importer): High-severity vulnerability detected on several systems. Details not specified.</w:t>
      </w:r>
    </w:p>
    <w:p>
      <w:pPr>
        <w:pStyle w:val="ListBullet"/>
      </w:pPr>
      <w:r>
        <w:rPr>
          <w:b/>
          <w:sz w:val="20"/>
        </w:rPr>
        <w:t>CVE-2022-4974 (WordPress Plugin: 3d-viewer): High-severity vulnerability detected on 6 systems. May impact network or device security.</w:t>
      </w:r>
    </w:p>
    <w:p>
      <w:pPr>
        <w:pStyle w:val="ListBullet"/>
      </w:pPr>
      <w:r>
        <w:rPr>
          <w:b/>
          <w:sz w:val="20"/>
        </w:rPr>
        <w:t>CVE-2022-23976 (WordPress Plugin: access-demo-importer): High-severity vulnerability detected on a single system.</w:t>
      </w:r>
    </w:p>
    <w:p/>
    <w:p>
      <w:pPr>
        <w:pStyle w:val="Heading1"/>
      </w:pPr>
      <w:r>
        <w:rPr>
          <w:rFonts w:ascii="Arial" w:hAnsi="Arial"/>
          <w:color w:val="FF5C41"/>
          <w:sz w:val="28"/>
        </w:rPr>
        <w:t>Recommended Actions</w:t>
      </w:r>
    </w:p>
    <w:p>
      <w:pPr>
        <w:pStyle w:val="ListBullet"/>
      </w:pPr>
      <w:r>
        <w:rPr>
          <w:sz w:val="20"/>
        </w:rPr>
        <w:t>Prioritize patching of CVE-2023-33999, CVE-2021-39317, and CVE-2022-23975 across all affected systems within 7-14 days to reduce risk of lateral movement and data compromise.</w:t>
      </w:r>
    </w:p>
    <w:p>
      <w:pPr>
        <w:pStyle w:val="ListBullet"/>
      </w:pPr>
      <w:r>
        <w:rPr>
          <w:sz w:val="20"/>
        </w:rPr>
        <w:t>Conduct targeted vulnerability scans and asset inventory to verify exposure and ensure no additional systems are impacted by high-severity CVEs.</w:t>
      </w:r>
    </w:p>
    <w:p>
      <w:pPr>
        <w:pStyle w:val="ListBullet"/>
      </w:pPr>
      <w:r>
        <w:rPr>
          <w:sz w:val="20"/>
        </w:rPr>
        <w:t>Enhance monitoring for ransomware, extortion, and supply chain compromise indicators as highlighted by CrowdStrike and OSINT sources.</w:t>
      </w:r>
    </w:p>
    <w:p>
      <w:pPr>
        <w:pStyle w:val="ListBullet"/>
      </w:pPr>
      <w:r>
        <w:rPr>
          <w:sz w:val="20"/>
        </w:rPr>
        <w:t>Review access controls and authentication mechanisms for laboratory equipment, IoT devices, and healthcare systems to mitigate risk from opportunistic and targeted actors.</w:t>
      </w:r>
    </w:p>
    <w:p>
      <w:pPr>
        <w:pStyle w:val="ListBullet"/>
      </w:pPr>
      <w:r>
        <w:rPr>
          <w:sz w:val="20"/>
        </w:rPr>
        <w:t>Engage supply chain partners and vendors to confirm their patching status and security posture, especially for devices and software linked to detected CVEs.</w:t>
      </w:r>
    </w:p>
    <w:p/>
    <w:p>
      <w:pPr>
        <w:pStyle w:val="Heading1"/>
      </w:pPr>
      <w:r>
        <w:rPr>
          <w:rFonts w:ascii="Arial" w:hAnsi="Arial"/>
          <w:color w:val="FF5C41"/>
          <w:sz w:val="28"/>
        </w:rPr>
        <w:t>Sources</w:t>
      </w:r>
    </w:p>
    <w:p>
      <w:pPr>
        <w:pStyle w:val="ListBullet"/>
      </w:pPr>
      <w:r>
        <w:rPr>
          <w:b/>
          <w:sz w:val="20"/>
        </w:rPr>
        <w:t>NIST National Vulnerability Database (NVD)</w:t>
      </w:r>
      <w:r>
        <w:rPr>
          <w:color w:val="666666"/>
          <w:sz w:val="20"/>
        </w:rPr>
        <w:t xml:space="preserve">  https://nvd.nist.gov/</w:t>
      </w:r>
    </w:p>
    <w:p>
      <w:pPr>
        <w:pStyle w:val="ListBullet"/>
      </w:pPr>
      <w:r>
        <w:rPr>
          <w:b/>
          <w:sz w:val="20"/>
        </w:rPr>
        <w:t>CISA Known Exploited Vulnerabilities (KEV) Catalog</w:t>
      </w:r>
      <w:r>
        <w:rPr>
          <w:color w:val="666666"/>
          <w:sz w:val="20"/>
        </w:rPr>
        <w:t xml:space="preserve">  https://www.cisa.gov/known-exploited-vulnerabilities-catalog</w:t>
      </w:r>
    </w:p>
    <w:p>
      <w:pPr>
        <w:pStyle w:val="ListBullet"/>
      </w:pPr>
      <w:r>
        <w:rPr>
          <w:b/>
          <w:sz w:val="20"/>
        </w:rPr>
        <w:t>Rapid7 InsightVM</w:t>
      </w:r>
      <w:r>
        <w:rPr>
          <w:color w:val="666666"/>
          <w:sz w:val="20"/>
        </w:rPr>
        <w:t xml:space="preserve"> — Asset vulnerability scans and exposure data</w:t>
      </w:r>
    </w:p>
    <w:p>
      <w:pPr>
        <w:pStyle w:val="ListBullet"/>
      </w:pPr>
      <w:r>
        <w:rPr>
          <w:b/>
          <w:sz w:val="20"/>
        </w:rPr>
        <w:t>CrowdStrike Falcon Intelligence</w:t>
      </w:r>
      <w:r>
        <w:rPr>
          <w:color w:val="666666"/>
          <w:sz w:val="20"/>
        </w:rPr>
        <w:t xml:space="preserve"> — Threat actor profiles and APT tracking</w:t>
      </w:r>
    </w:p>
    <w:p>
      <w:pPr>
        <w:pStyle w:val="ListBullet"/>
      </w:pPr>
      <w:r>
        <w:rPr>
          <w:b/>
          <w:sz w:val="20"/>
        </w:rPr>
        <w:t>Intel471 Titan</w:t>
      </w:r>
      <w:r>
        <w:rPr>
          <w:color w:val="666666"/>
          <w:sz w:val="20"/>
        </w:rPr>
        <w:t xml:space="preserve"> — Underground threat intelligence and breach reporting</w:t>
      </w:r>
    </w:p>
    <w:p>
      <w:pPr>
        <w:pStyle w:val="ListBullet"/>
      </w:pPr>
      <w:r>
        <w:rPr>
          <w:b/>
          <w:sz w:val="20"/>
        </w:rPr>
        <w:t>ThreatQ</w:t>
      </w:r>
      <w:r>
        <w:rPr>
          <w:color w:val="666666"/>
          <w:sz w:val="20"/>
        </w:rPr>
        <w:t xml:space="preserve"> — Indicator of compromise (IOC) aggregation</w:t>
      </w:r>
    </w:p>
    <w:p>
      <w:pPr>
        <w:pStyle w:val="ListBullet"/>
      </w:pPr>
      <w:r>
        <w:rPr>
          <w:b/>
          <w:sz w:val="20"/>
        </w:rPr>
        <w:t>MITRE ATT&amp;CK</w:t>
      </w:r>
      <w:r>
        <w:rPr>
          <w:color w:val="666666"/>
          <w:sz w:val="20"/>
        </w:rPr>
        <w:t xml:space="preserve">  https://attack.mitre.org/</w:t>
      </w:r>
    </w:p>
    <w:p/>
    <w:p>
      <w:pPr>
        <w:jc w:val="center"/>
      </w:pPr>
      <w:r>
        <w:rPr>
          <w:b/>
          <w:sz w:val="20"/>
        </w:rPr>
        <w:t>Questions or suspicious activity: secops@company.com | ServiceNow | cti@company.com</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