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0" w:line="216" w:lineRule="auto"/>
        <w:jc w:val="left"/>
      </w:pPr>
      <w:r>
        <w:rPr>
          <w:rFonts w:ascii="Arial" w:hAnsi="Arial"/>
          <w:b/>
          <w:color w:val="FF5C41"/>
          <w:sz w:val="36"/>
        </w:rPr>
        <w:t>Cyber Threat Intelligence Weekly Report</w:t>
      </w:r>
    </w:p>
    <w:p>
      <w:pPr>
        <w:spacing w:before="40" w:after="120"/>
        <w:jc w:val="left"/>
      </w:pPr>
      <w:r>
        <w:rPr>
          <w:rFonts w:ascii="Arial" w:hAnsi="Arial"/>
          <w:color w:val="B0B0B0"/>
          <w:sz w:val="20"/>
        </w:rPr>
        <w:t>7-Day Lookback | April 18 to April 25, 2026</w:t>
      </w:r>
    </w:p>
    <w:p/>
    <w:p>
      <w:pPr>
        <w:pStyle w:val="Heading1"/>
        <w:spacing w:before="0" w:after="0"/>
      </w:pPr>
      <w:r>
        <w:rPr>
          <w:rFonts w:ascii="Arial" w:hAnsi="Arial"/>
          <w:b/>
          <w:color w:val="FF5C41"/>
          <w:sz w:val="28"/>
        </w:rPr>
        <w:t>Executive Summary</w:t>
      </w:r>
    </w:p>
    <w:p>
      <w:pPr>
        <w:spacing w:before="0" w:after="0"/>
        <w:jc w:val="center"/>
      </w:pPr>
      <w:r>
        <w:rPr>
          <w:color w:val="666666"/>
          <w:sz w:val="21"/>
        </w:rPr>
        <w:t>•</w:t>
      </w:r>
    </w:p>
    <w:p>
      <w:pPr>
        <w:spacing w:before="0" w:after="80" w:line="360" w:lineRule="auto"/>
      </w:pPr>
      <w:r>
        <w:rPr>
          <w:rFonts w:ascii="Arial" w:hAnsi="Arial"/>
          <w:color w:val="333333"/>
          <w:sz w:val="21"/>
        </w:rPr>
        <w:t>This week's threat intelligence analysis highlights several critical vulnerabilities detected in our environment, with particular focus on those affecting research data, laboratory equipment, healthcare systems, and supply chain operations. While none of the CVEs identified are currently listed as exploited or associated with active threat actors, their presence on production systems, laboratory devices, and healthcare infrastructure poses significant risk to intellectual property, patient data, and regulatory compliance. Multiple vulnerabilities have wide exposure across several systems, increasing the likelihood of exploitation, especially if threat actors shift focus or new exploit kits emerge.</w:t>
        <w:br/>
        <w:br/>
        <w:t>CrowdStrike and Intel471 reporting indicate ongoing targeting of manufacturing, healthcare, and biotech sectors by financially motivated and state-sponsored threat actors. Groups such as VICE SPIDER, TRAVELING SPIDER, and RICOCHET CHOLLIMA are known to target manufacturing and healthcare organizations, often leveraging vulnerabilities in widely deployed software and IoT devices. OSINT sources highlight a surge in AI-powered phishing, persistent malware on network devices, and extortion campaigns, underscoring the need for rapid patching, enhanced monitoring, and supply chain vigilance. Immediate remediation of high-priority vulnerabilities and proactive monitoring for threat actor activity are recommended to protect sensitive research and operational continuity.</w:t>
      </w:r>
    </w:p>
    <w:p>
      <w:pPr>
        <w:pStyle w:val="Heading1"/>
        <w:spacing w:before="120" w:after="0"/>
      </w:pPr>
      <w:r>
        <w:rPr>
          <w:rFonts w:ascii="Arial" w:hAnsi="Arial"/>
          <w:b/>
          <w:color w:val="FF5C41"/>
          <w:sz w:val="28"/>
        </w:rPr>
        <w:t xml:space="preserve">This Week </w:t>
      </w:r>
      <w:r>
        <w:rPr>
          <w:rFonts w:ascii="Arial" w:hAnsi="Arial"/>
          <w:b/>
          <w:color w:val="FF5C41"/>
          <w:sz w:val="28"/>
          <w:u w:val="none"/>
        </w:rPr>
        <w:t>at a Glance</w:t>
      </w:r>
    </w:p>
    <w:p>
      <w:pPr>
        <w:spacing w:before="200" w:after="80"/>
      </w:pPr>
      <w:r>
        <w:rPr>
          <w:rFonts w:ascii="Arial" w:hAnsi="Arial"/>
          <w:i/>
          <w:color w:val="B0B0B0"/>
          <w:sz w:val="18"/>
        </w:rPr>
        <w:t>Vulnerability and threat actor metrics from automated collection (April 18 to April 25, 2026).</w:t>
      </w:r>
    </w:p>
    <w:tbl>
      <w:tblPr>
        <w:tblW w:type="auto" w:w="0"/>
        <w:jc w:val="center"/>
        <w:tblLook w:firstColumn="1" w:firstRow="1" w:lastColumn="0" w:lastRow="0" w:noHBand="0" w:noVBand="1" w:val="04A0"/>
      </w:tblPr>
      <w:tblGrid>
        <w:gridCol w:w="3360"/>
        <w:gridCol w:w="3360"/>
        <w:gridCol w:w="3360"/>
      </w:tblGrid>
      <w:tr>
        <w:tc>
          <w:tcPr>
            <w:tcW w:type="dxa" w:w="3360"/>
            <w:shd w:fill="F5F5F5" w:val="clear" w:color="auto"/>
            <w:tcBorders>
              <w:top w:val="single" w:sz="4" w:space="0" w:color="CCCCCC"/>
              <w:bottom w:val="single" w:sz="4" w:space="0" w:color="CCCCCC"/>
              <w:left w:val="single" w:sz="4" w:space="0" w:color="CCCCCC"/>
              <w:right w:val="single" w:sz="4" w:space="0" w:color="CCCCCC"/>
            </w:tcBorders>
          </w:tcPr>
          <w:p>
            <w:pPr>
              <w:spacing w:after="40"/>
              <w:jc w:val="center"/>
            </w:pPr>
            <w:r>
              <w:rPr>
                <w:rFonts w:ascii="Arial" w:hAnsi="Arial"/>
                <w:b/>
                <w:color w:val="FF5C41"/>
                <w:sz w:val="44"/>
              </w:rPr>
              <w:t>36</w:t>
            </w:r>
          </w:p>
          <w:p>
            <w:pPr>
              <w:spacing w:before="0" w:after="40"/>
              <w:jc w:val="center"/>
            </w:pPr>
            <w:r>
              <w:rPr>
                <w:b/>
                <w:color w:val="000000"/>
                <w:sz w:val="20"/>
              </w:rPr>
              <w:t>New This Week</w:t>
            </w:r>
          </w:p>
          <w:p>
            <w:pPr>
              <w:spacing w:before="0" w:after="160"/>
              <w:jc w:val="center"/>
            </w:pPr>
            <w:r>
              <w:rPr>
                <w:rFonts w:ascii="Arial" w:hAnsi="Arial"/>
                <w:color w:val="666666"/>
                <w:sz w:val="16"/>
              </w:rPr>
              <w:t>First appearance in Rapid7 scans</w:t>
            </w:r>
          </w:p>
        </w:tc>
        <w:tc>
          <w:tcPr>
            <w:tcW w:type="dxa" w:w="3360"/>
            <w:shd w:fill="F5F5F5" w:val="clear" w:color="auto"/>
            <w:tcBorders>
              <w:top w:val="single" w:sz="4" w:space="0" w:color="CCCCCC"/>
              <w:bottom w:val="single" w:sz="4" w:space="0" w:color="CCCCCC"/>
              <w:left w:val="single" w:sz="4" w:space="0" w:color="CCCCCC"/>
              <w:right w:val="single" w:sz="4" w:space="0" w:color="CCCCCC"/>
            </w:tcBorders>
          </w:tcPr>
          <w:p>
            <w:pPr>
              <w:spacing w:after="40"/>
              <w:jc w:val="center"/>
            </w:pPr>
            <w:r>
              <w:rPr>
                <w:rFonts w:ascii="Arial" w:hAnsi="Arial"/>
                <w:b/>
                <w:color w:val="FF5C41"/>
                <w:sz w:val="44"/>
              </w:rPr>
              <w:t>1</w:t>
            </w:r>
          </w:p>
          <w:p>
            <w:pPr>
              <w:spacing w:before="0" w:after="40"/>
              <w:jc w:val="center"/>
            </w:pPr>
            <w:r>
              <w:rPr>
                <w:b/>
                <w:color w:val="000000"/>
                <w:sz w:val="20"/>
              </w:rPr>
              <w:t>Persistent (3+ Wks)</w:t>
            </w:r>
          </w:p>
          <w:p>
            <w:pPr>
              <w:spacing w:before="0" w:after="160"/>
              <w:jc w:val="center"/>
            </w:pPr>
            <w:r>
              <w:rPr>
                <w:rFonts w:ascii="Arial" w:hAnsi="Arial"/>
                <w:color w:val="666666"/>
                <w:sz w:val="16"/>
              </w:rPr>
              <w:t>Unresolved from prior reports</w:t>
            </w:r>
          </w:p>
        </w:tc>
        <w:tc>
          <w:tcPr>
            <w:tcW w:type="dxa" w:w="3360"/>
            <w:shd w:fill="F5F5F5" w:val="clear" w:color="auto"/>
            <w:tcBorders>
              <w:top w:val="single" w:sz="4" w:space="0" w:color="CCCCCC"/>
              <w:bottom w:val="single" w:sz="4" w:space="0" w:color="CCCCCC"/>
              <w:left w:val="single" w:sz="4" w:space="0" w:color="CCCCCC"/>
              <w:right w:val="single" w:sz="4" w:space="0" w:color="CCCCCC"/>
            </w:tcBorders>
          </w:tcPr>
          <w:p>
            <w:pPr>
              <w:spacing w:after="40"/>
              <w:jc w:val="center"/>
            </w:pPr>
            <w:r>
              <w:rPr>
                <w:rFonts w:ascii="Arial" w:hAnsi="Arial"/>
                <w:b/>
                <w:color w:val="2ECC71"/>
                <w:sz w:val="44"/>
              </w:rPr>
              <w:t>0</w:t>
            </w:r>
          </w:p>
          <w:p>
            <w:pPr>
              <w:spacing w:before="0" w:after="40"/>
              <w:jc w:val="center"/>
            </w:pPr>
            <w:r>
              <w:rPr>
                <w:b/>
                <w:color w:val="000000"/>
                <w:sz w:val="20"/>
              </w:rPr>
              <w:t>Resolved</w:t>
            </w:r>
          </w:p>
          <w:p>
            <w:pPr>
              <w:spacing w:before="0" w:after="160"/>
              <w:jc w:val="center"/>
            </w:pPr>
            <w:r>
              <w:rPr>
                <w:rFonts w:ascii="Arial" w:hAnsi="Arial"/>
                <w:color w:val="666666"/>
                <w:sz w:val="16"/>
              </w:rPr>
              <w:t>Remediated since last week</w:t>
            </w:r>
          </w:p>
        </w:tc>
      </w:tr>
    </w:tbl>
    <w:p>
      <w:pPr>
        <w:spacing w:before="0" w:after="400"/>
      </w:pPr>
    </w:p>
    <w:tbl>
      <w:tblPr>
        <w:tblW w:type="auto" w:w="0"/>
        <w:jc w:val="center"/>
        <w:tblLook w:firstColumn="1" w:firstRow="1" w:lastColumn="0" w:lastRow="0" w:noHBand="0" w:noVBand="1" w:val="04A0"/>
      </w:tblPr>
      <w:tblGrid>
        <w:gridCol w:w="3360"/>
        <w:gridCol w:w="3360"/>
        <w:gridCol w:w="3360"/>
      </w:tblGrid>
      <w:tr>
        <w:tc>
          <w:tcPr>
            <w:tcW w:type="dxa" w:w="3360"/>
            <w:shd w:fill="F5F5F5" w:val="clear" w:color="auto"/>
            <w:tcBorders>
              <w:top w:val="single" w:sz="4" w:space="0" w:color="CCCCCC"/>
              <w:bottom w:val="single" w:sz="4" w:space="0" w:color="CCCCCC"/>
              <w:left w:val="single" w:sz="4" w:space="0" w:color="CCCCCC"/>
              <w:right w:val="single" w:sz="4" w:space="0" w:color="CCCCCC"/>
            </w:tcBorders>
          </w:tcPr>
          <w:p>
            <w:pPr>
              <w:spacing w:after="40"/>
              <w:jc w:val="center"/>
            </w:pPr>
            <w:r>
              <w:rPr>
                <w:rFonts w:ascii="Arial" w:hAnsi="Arial"/>
                <w:b/>
                <w:color w:val="FF3B3B"/>
                <w:sz w:val="44"/>
              </w:rPr>
              <w:t>36</w:t>
            </w:r>
          </w:p>
          <w:p>
            <w:pPr>
              <w:spacing w:before="0" w:after="40"/>
              <w:jc w:val="center"/>
            </w:pPr>
            <w:r>
              <w:rPr>
                <w:b/>
                <w:color w:val="000000"/>
                <w:sz w:val="20"/>
              </w:rPr>
              <w:t>Total Exposed</w:t>
            </w:r>
          </w:p>
          <w:p>
            <w:pPr>
              <w:spacing w:before="0" w:after="160"/>
              <w:jc w:val="center"/>
            </w:pPr>
            <w:r>
              <w:rPr>
                <w:rFonts w:ascii="Arial" w:hAnsi="Arial"/>
                <w:color w:val="666666"/>
                <w:sz w:val="16"/>
              </w:rPr>
              <w:t>CVEs on assets</w:t>
            </w:r>
          </w:p>
        </w:tc>
        <w:tc>
          <w:tcPr>
            <w:tcW w:type="dxa" w:w="3360"/>
            <w:shd w:fill="F5F5F5" w:val="clear" w:color="auto"/>
            <w:tcBorders>
              <w:top w:val="single" w:sz="4" w:space="0" w:color="CCCCCC"/>
              <w:bottom w:val="single" w:sz="4" w:space="0" w:color="CCCCCC"/>
              <w:left w:val="single" w:sz="4" w:space="0" w:color="CCCCCC"/>
              <w:right w:val="single" w:sz="4" w:space="0" w:color="CCCCCC"/>
            </w:tcBorders>
          </w:tcPr>
          <w:p>
            <w:pPr>
              <w:spacing w:after="40"/>
              <w:jc w:val="center"/>
            </w:pPr>
            <w:r>
              <w:rPr>
                <w:rFonts w:ascii="Arial" w:hAnsi="Arial"/>
                <w:b/>
                <w:color w:val="FF3B3B"/>
                <w:sz w:val="44"/>
              </w:rPr>
              <w:t>0</w:t>
            </w:r>
          </w:p>
          <w:p>
            <w:pPr>
              <w:spacing w:before="0" w:after="40"/>
              <w:jc w:val="center"/>
            </w:pPr>
            <w:r>
              <w:rPr>
                <w:b/>
                <w:color w:val="000000"/>
                <w:sz w:val="20"/>
              </w:rPr>
              <w:t>Actively Exploited</w:t>
            </w:r>
          </w:p>
          <w:p>
            <w:pPr>
              <w:spacing w:before="0" w:after="160"/>
              <w:jc w:val="center"/>
            </w:pPr>
            <w:r>
              <w:rPr>
                <w:rFonts w:ascii="Arial" w:hAnsi="Arial"/>
                <w:color w:val="666666"/>
                <w:sz w:val="16"/>
              </w:rPr>
              <w:t>Confirmed threat actor use</w:t>
            </w:r>
          </w:p>
        </w:tc>
        <w:tc>
          <w:tcPr>
            <w:tcW w:type="dxa" w:w="3360"/>
            <w:shd w:fill="F5F5F5" w:val="clear" w:color="auto"/>
            <w:tcBorders>
              <w:top w:val="single" w:sz="4" w:space="0" w:color="CCCCCC"/>
              <w:bottom w:val="single" w:sz="4" w:space="0" w:color="CCCCCC"/>
              <w:left w:val="single" w:sz="4" w:space="0" w:color="CCCCCC"/>
              <w:right w:val="single" w:sz="4" w:space="0" w:color="CCCCCC"/>
            </w:tcBorders>
          </w:tcPr>
          <w:p>
            <w:pPr>
              <w:spacing w:after="40"/>
              <w:jc w:val="center"/>
            </w:pPr>
            <w:r>
              <w:rPr>
                <w:rFonts w:ascii="Arial" w:hAnsi="Arial"/>
                <w:b/>
                <w:color w:val="FF3B3B"/>
                <w:sz w:val="44"/>
              </w:rPr>
              <w:t>3</w:t>
            </w:r>
          </w:p>
          <w:p>
            <w:pPr>
              <w:spacing w:before="0" w:after="40"/>
              <w:jc w:val="center"/>
            </w:pPr>
            <w:r>
              <w:rPr>
                <w:b/>
                <w:color w:val="000000"/>
                <w:sz w:val="20"/>
              </w:rPr>
              <w:t>Actor Groups</w:t>
            </w:r>
          </w:p>
          <w:p>
            <w:pPr>
              <w:spacing w:before="0" w:after="160"/>
              <w:jc w:val="center"/>
            </w:pPr>
            <w:r>
              <w:rPr>
                <w:rFonts w:ascii="Arial" w:hAnsi="Arial"/>
                <w:color w:val="666666"/>
                <w:sz w:val="16"/>
              </w:rPr>
              <w:t>Targeting biotech sector</w:t>
            </w:r>
          </w:p>
        </w:tc>
      </w:tr>
    </w:tbl>
    <w:p>
      <w:pPr>
        <w:spacing w:before="0" w:after="120"/>
      </w:pPr>
    </w:p>
    <w:p>
      <w:pPr>
        <w:pStyle w:val="Heading1"/>
      </w:pPr>
      <w:r>
        <w:rPr>
          <w:rFonts w:ascii="Arial" w:hAnsi="Arial"/>
          <w:color w:val="FF5C41"/>
          <w:sz w:val="28"/>
        </w:rPr>
        <w:t>Vulnerability Exposure</w:t>
      </w:r>
    </w:p>
    <w:tbl>
      <w:tblPr>
        <w:tblW w:type="auto" w:w="0"/>
        <w:tblLook w:firstColumn="1" w:firstRow="1" w:lastColumn="0" w:lastRow="0" w:noHBand="0" w:noVBand="1" w:val="04A0"/>
      </w:tblPr>
      <w:tblGrid>
        <w:gridCol w:w="1680"/>
        <w:gridCol w:w="1680"/>
        <w:gridCol w:w="1680"/>
        <w:gridCol w:w="1680"/>
        <w:gridCol w:w="1680"/>
        <w:gridCol w:w="1680"/>
      </w:tblGrid>
      <w:tr>
        <w:tc>
          <w:tcPr>
            <w:tcW w:type="dxa" w:w="1680"/>
            <w:shd w:fill="E65100" w:val="clear" w:color="auto"/>
            <w:tcBorders>
              <w:top w:val="single" w:sz="4" w:space="0" w:color="CCCCCC"/>
              <w:bottom w:val="single" w:sz="4" w:space="0" w:color="CCCCCC"/>
              <w:left w:val="single" w:sz="4" w:space="0" w:color="CCCCCC"/>
              <w:right w:val="single" w:sz="4" w:space="0" w:color="CCCCCC"/>
            </w:tcBorders>
            <w:tcMar>
              <w:top w:w="40" w:type="dxa"/>
              <w:start w:w="40" w:type="dxa"/>
              <w:bottom w:w="40" w:type="dxa"/>
              <w:end w:w="40" w:type="dxa"/>
            </w:tcMar>
          </w:tcPr>
          <w:p>
            <w:pPr>
              <w:jc w:val="center"/>
            </w:pPr>
            <w:r>
              <w:rPr>
                <w:b/>
                <w:color w:val="FFFFFF"/>
                <w:sz w:val="16"/>
              </w:rPr>
              <w:t>CVE ID</w:t>
            </w:r>
          </w:p>
        </w:tc>
        <w:tc>
          <w:tcPr>
            <w:tcW w:type="dxa" w:w="1680"/>
            <w:shd w:fill="E65100" w:val="clear" w:color="auto"/>
            <w:tcBorders>
              <w:top w:val="single" w:sz="4" w:space="0" w:color="CCCCCC"/>
              <w:bottom w:val="single" w:sz="4" w:space="0" w:color="CCCCCC"/>
              <w:left w:val="single" w:sz="4" w:space="0" w:color="CCCCCC"/>
              <w:right w:val="single" w:sz="4" w:space="0" w:color="CCCCCC"/>
            </w:tcBorders>
            <w:tcMar>
              <w:top w:w="40" w:type="dxa"/>
              <w:start w:w="40" w:type="dxa"/>
              <w:bottom w:w="40" w:type="dxa"/>
              <w:end w:w="40" w:type="dxa"/>
            </w:tcMar>
          </w:tcPr>
          <w:p>
            <w:pPr>
              <w:jc w:val="center"/>
            </w:pPr>
            <w:r>
              <w:rPr>
                <w:b/>
                <w:color w:val="FFFFFF"/>
                <w:sz w:val="16"/>
              </w:rPr>
              <w:t>Affected Product</w:t>
            </w:r>
          </w:p>
        </w:tc>
        <w:tc>
          <w:tcPr>
            <w:tcW w:type="dxa" w:w="1680"/>
            <w:shd w:fill="E65100" w:val="clear" w:color="auto"/>
            <w:tcBorders>
              <w:top w:val="single" w:sz="4" w:space="0" w:color="CCCCCC"/>
              <w:bottom w:val="single" w:sz="4" w:space="0" w:color="CCCCCC"/>
              <w:left w:val="single" w:sz="4" w:space="0" w:color="CCCCCC"/>
              <w:right w:val="single" w:sz="4" w:space="0" w:color="CCCCCC"/>
            </w:tcBorders>
            <w:tcMar>
              <w:top w:w="40" w:type="dxa"/>
              <w:start w:w="40" w:type="dxa"/>
              <w:bottom w:w="40" w:type="dxa"/>
              <w:end w:w="40" w:type="dxa"/>
            </w:tcMar>
          </w:tcPr>
          <w:p>
            <w:pPr>
              <w:jc w:val="center"/>
            </w:pPr>
            <w:r>
              <w:rPr>
                <w:b/>
                <w:color w:val="FFFFFF"/>
                <w:sz w:val="16"/>
              </w:rPr>
              <w:t>Exposure</w:t>
            </w:r>
          </w:p>
        </w:tc>
        <w:tc>
          <w:tcPr>
            <w:tcW w:type="dxa" w:w="1680"/>
            <w:shd w:fill="E65100" w:val="clear" w:color="auto"/>
            <w:tcBorders>
              <w:top w:val="single" w:sz="4" w:space="0" w:color="CCCCCC"/>
              <w:bottom w:val="single" w:sz="4" w:space="0" w:color="CCCCCC"/>
              <w:left w:val="single" w:sz="4" w:space="0" w:color="CCCCCC"/>
              <w:right w:val="single" w:sz="4" w:space="0" w:color="CCCCCC"/>
            </w:tcBorders>
            <w:tcMar>
              <w:top w:w="40" w:type="dxa"/>
              <w:start w:w="40" w:type="dxa"/>
              <w:bottom w:w="40" w:type="dxa"/>
              <w:end w:w="40" w:type="dxa"/>
            </w:tcMar>
          </w:tcPr>
          <w:p>
            <w:pPr>
              <w:jc w:val="center"/>
            </w:pPr>
            <w:r>
              <w:rPr>
                <w:b/>
                <w:color w:val="FFFFFF"/>
                <w:sz w:val="16"/>
              </w:rPr>
              <w:t>Exploited By</w:t>
            </w:r>
          </w:p>
        </w:tc>
        <w:tc>
          <w:tcPr>
            <w:tcW w:type="dxa" w:w="1680"/>
            <w:shd w:fill="E65100" w:val="clear" w:color="auto"/>
            <w:tcBorders>
              <w:top w:val="single" w:sz="4" w:space="0" w:color="CCCCCC"/>
              <w:bottom w:val="single" w:sz="4" w:space="0" w:color="CCCCCC"/>
              <w:left w:val="single" w:sz="4" w:space="0" w:color="CCCCCC"/>
              <w:right w:val="single" w:sz="4" w:space="0" w:color="CCCCCC"/>
            </w:tcBorders>
            <w:tcMar>
              <w:top w:w="40" w:type="dxa"/>
              <w:start w:w="40" w:type="dxa"/>
              <w:bottom w:w="40" w:type="dxa"/>
              <w:end w:w="40" w:type="dxa"/>
            </w:tcMar>
          </w:tcPr>
          <w:p>
            <w:pPr>
              <w:jc w:val="center"/>
            </w:pPr>
            <w:r>
              <w:rPr>
                <w:b/>
                <w:color w:val="FFFFFF"/>
                <w:sz w:val="16"/>
              </w:rPr>
              <w:t>Priority</w:t>
            </w:r>
          </w:p>
        </w:tc>
        <w:tc>
          <w:tcPr>
            <w:tcW w:type="dxa" w:w="1680"/>
            <w:shd w:fill="E65100" w:val="clear" w:color="auto"/>
            <w:tcBorders>
              <w:top w:val="single" w:sz="4" w:space="0" w:color="CCCCCC"/>
              <w:bottom w:val="single" w:sz="4" w:space="0" w:color="CCCCCC"/>
              <w:left w:val="single" w:sz="4" w:space="0" w:color="CCCCCC"/>
              <w:right w:val="single" w:sz="4" w:space="0" w:color="CCCCCC"/>
            </w:tcBorders>
            <w:tcMar>
              <w:top w:w="40" w:type="dxa"/>
              <w:start w:w="40" w:type="dxa"/>
              <w:bottom w:w="40" w:type="dxa"/>
              <w:end w:w="40" w:type="dxa"/>
            </w:tcMar>
          </w:tcPr>
          <w:p>
            <w:pPr>
              <w:jc w:val="center"/>
            </w:pPr>
            <w:r>
              <w:rPr>
                <w:b/>
                <w:color w:val="FFFFFF"/>
                <w:sz w:val="16"/>
              </w:rPr>
              <w:t>Wks</w:t>
            </w:r>
          </w:p>
        </w:tc>
      </w:tr>
      <w:tr>
        <w:tc>
          <w:tcPr>
            <w:tcW w:type="dxa" w:w="1680"/>
            <w:tcBorders>
              <w:top w:val="single" w:sz="4" w:space="0" w:color="CCCCCC"/>
              <w:bottom w:val="single" w:sz="4" w:space="0" w:color="CCCCCC"/>
              <w:left w:val="single" w:sz="4" w:space="0" w:color="CCCCCC"/>
              <w:right w:val="single" w:sz="4" w:space="0" w:color="CCCCCC"/>
            </w:tcBorders>
          </w:tcPr>
          <w:p>
            <w:r>
              <w:rPr>
                <w:color w:val="333333"/>
                <w:sz w:val="18"/>
              </w:rPr>
              <w:t>CVE-2023-33999</w:t>
            </w:r>
          </w:p>
        </w:tc>
        <w:tc>
          <w:tcPr>
            <w:tcW w:type="dxa" w:w="1680"/>
            <w:tcBorders>
              <w:top w:val="single" w:sz="4" w:space="0" w:color="CCCCCC"/>
              <w:bottom w:val="single" w:sz="4" w:space="0" w:color="CCCCCC"/>
              <w:left w:val="single" w:sz="4" w:space="0" w:color="CCCCCC"/>
              <w:right w:val="single" w:sz="4" w:space="0" w:color="CCCCCC"/>
            </w:tcBorders>
          </w:tcPr>
          <w:p>
            <w:r>
              <w:rPr>
                <w:color w:val="333333"/>
                <w:sz w:val="18"/>
              </w:rPr>
              <w:t>WordPress Plugin: 2mb-autocode</w:t>
            </w:r>
          </w:p>
        </w:tc>
        <w:tc>
          <w:tcPr>
            <w:tcW w:type="dxa" w:w="1680"/>
            <w:tcBorders>
              <w:top w:val="single" w:sz="4" w:space="0" w:color="CCCCCC"/>
              <w:bottom w:val="single" w:sz="4" w:space="0" w:color="CCCCCC"/>
              <w:left w:val="single" w:sz="4" w:space="0" w:color="CCCCCC"/>
              <w:right w:val="single" w:sz="4" w:space="0" w:color="CCCCCC"/>
            </w:tcBorders>
          </w:tcPr>
          <w:p>
            <w:r>
              <w:rPr>
                <w:color w:val="333333"/>
                <w:sz w:val="18"/>
              </w:rPr>
              <w:t>7 systems</w:t>
            </w:r>
          </w:p>
        </w:tc>
        <w:tc>
          <w:tcPr>
            <w:tcW w:type="dxa" w:w="1680"/>
            <w:shd w:fill="E8F5E9" w:val="clear" w:color="auto"/>
            <w:tcBorders>
              <w:top w:val="single" w:sz="4" w:space="0" w:color="CCCCCC"/>
              <w:bottom w:val="single" w:sz="4" w:space="0" w:color="CCCCCC"/>
              <w:left w:val="single" w:sz="4" w:space="0" w:color="CCCCCC"/>
              <w:right w:val="single" w:sz="4" w:space="0" w:color="CCCCCC"/>
            </w:tcBorders>
          </w:tcPr>
          <w:p>
            <w:r>
              <w:rPr>
                <w:color w:val="333333"/>
                <w:sz w:val="18"/>
              </w:rPr>
              <w:t>None known</w:t>
            </w:r>
          </w:p>
        </w:tc>
        <w:tc>
          <w:tcPr>
            <w:tcW w:type="dxa" w:w="1680"/>
            <w:shd w:fill="FFF3E0" w:val="clear" w:color="auto"/>
            <w:tcBorders>
              <w:top w:val="single" w:sz="4" w:space="0" w:color="CCCCCC"/>
              <w:bottom w:val="single" w:sz="4" w:space="0" w:color="CCCCCC"/>
              <w:left w:val="single" w:sz="4" w:space="0" w:color="CCCCCC"/>
              <w:right w:val="single" w:sz="4" w:space="0" w:color="CCCCCC"/>
            </w:tcBorders>
          </w:tcPr>
          <w:p>
            <w:pPr>
              <w:jc w:val="center"/>
            </w:pPr>
            <w:r>
              <w:rPr>
                <w:b/>
                <w:color w:val="333333"/>
                <w:sz w:val="18"/>
              </w:rPr>
              <w:t>P2</w:t>
            </w:r>
          </w:p>
        </w:tc>
        <w:tc>
          <w:tcPr>
            <w:tcW w:type="dxa" w:w="1680"/>
            <w:shd w:fill="FFEBEE" w:val="clear" w:color="auto"/>
            <w:tcBorders>
              <w:top w:val="single" w:sz="4" w:space="0" w:color="CCCCCC"/>
              <w:bottom w:val="single" w:sz="4" w:space="0" w:color="CCCCCC"/>
              <w:left w:val="single" w:sz="4" w:space="0" w:color="CCCCCC"/>
              <w:right w:val="single" w:sz="4" w:space="0" w:color="CCCCCC"/>
            </w:tcBorders>
          </w:tcPr>
          <w:p>
            <w:pPr>
              <w:jc w:val="center"/>
            </w:pPr>
            <w:r>
              <w:rPr>
                <w:color w:val="333333"/>
                <w:sz w:val="18"/>
              </w:rPr>
              <w:t>49</w:t>
            </w:r>
          </w:p>
        </w:tc>
      </w:tr>
      <w:tr>
        <w:tc>
          <w:tcPr>
            <w:tcW w:type="dxa" w:w="1680"/>
            <w:tcBorders>
              <w:top w:val="single" w:sz="4" w:space="0" w:color="CCCCCC"/>
              <w:bottom w:val="single" w:sz="4" w:space="0" w:color="CCCCCC"/>
              <w:left w:val="single" w:sz="4" w:space="0" w:color="CCCCCC"/>
              <w:right w:val="single" w:sz="4" w:space="0" w:color="CCCCCC"/>
            </w:tcBorders>
          </w:tcPr>
          <w:p>
            <w:r>
              <w:rPr>
                <w:color w:val="333333"/>
                <w:sz w:val="18"/>
              </w:rPr>
              <w:t>CVE-2021-39317</w:t>
            </w:r>
          </w:p>
        </w:tc>
        <w:tc>
          <w:tcPr>
            <w:tcW w:type="dxa" w:w="1680"/>
            <w:tcBorders>
              <w:top w:val="single" w:sz="4" w:space="0" w:color="CCCCCC"/>
              <w:bottom w:val="single" w:sz="4" w:space="0" w:color="CCCCCC"/>
              <w:left w:val="single" w:sz="4" w:space="0" w:color="CCCCCC"/>
              <w:right w:val="single" w:sz="4" w:space="0" w:color="CCCCCC"/>
            </w:tcBorders>
          </w:tcPr>
          <w:p>
            <w:r>
              <w:rPr>
                <w:color w:val="333333"/>
                <w:sz w:val="18"/>
              </w:rPr>
              <w:t>WordPress Plugin: access-demo-importer</w:t>
            </w:r>
          </w:p>
        </w:tc>
        <w:tc>
          <w:tcPr>
            <w:tcW w:type="dxa" w:w="1680"/>
            <w:tcBorders>
              <w:top w:val="single" w:sz="4" w:space="0" w:color="CCCCCC"/>
              <w:bottom w:val="single" w:sz="4" w:space="0" w:color="CCCCCC"/>
              <w:left w:val="single" w:sz="4" w:space="0" w:color="CCCCCC"/>
              <w:right w:val="single" w:sz="4" w:space="0" w:color="CCCCCC"/>
            </w:tcBorders>
          </w:tcPr>
          <w:p>
            <w:r>
              <w:rPr>
                <w:color w:val="333333"/>
                <w:sz w:val="18"/>
              </w:rPr>
              <w:t>7 systems</w:t>
            </w:r>
          </w:p>
        </w:tc>
        <w:tc>
          <w:tcPr>
            <w:tcW w:type="dxa" w:w="1680"/>
            <w:shd w:fill="FFEBEE" w:val="clear" w:color="auto"/>
            <w:tcBorders>
              <w:top w:val="single" w:sz="4" w:space="0" w:color="CCCCCC"/>
              <w:bottom w:val="single" w:sz="4" w:space="0" w:color="CCCCCC"/>
              <w:left w:val="single" w:sz="4" w:space="0" w:color="CCCCCC"/>
              <w:right w:val="single" w:sz="4" w:space="0" w:color="CCCCCC"/>
            </w:tcBorders>
          </w:tcPr>
          <w:p>
            <w:r>
              <w:rPr>
                <w:color w:val="333333"/>
                <w:sz w:val="18"/>
              </w:rPr>
              <w:t>Minimal exploit probability (EPSS 1.41%)</w:t>
            </w:r>
          </w:p>
        </w:tc>
        <w:tc>
          <w:tcPr>
            <w:tcW w:type="dxa" w:w="1680"/>
            <w:shd w:fill="E8F5E9" w:val="clear" w:color="auto"/>
            <w:tcBorders>
              <w:top w:val="single" w:sz="4" w:space="0" w:color="CCCCCC"/>
              <w:bottom w:val="single" w:sz="4" w:space="0" w:color="CCCCCC"/>
              <w:left w:val="single" w:sz="4" w:space="0" w:color="CCCCCC"/>
              <w:right w:val="single" w:sz="4" w:space="0" w:color="CCCCCC"/>
            </w:tcBorders>
          </w:tcPr>
          <w:p>
            <w:pPr>
              <w:jc w:val="center"/>
            </w:pPr>
            <w:r>
              <w:rPr>
                <w:b/>
                <w:color w:val="333333"/>
                <w:sz w:val="18"/>
              </w:rPr>
              <w:t>P3</w:t>
            </w:r>
          </w:p>
        </w:tc>
        <w:tc>
          <w:tcPr>
            <w:tcW w:type="dxa" w:w="1680"/>
            <w:shd w:fill="FFEBEE" w:val="clear" w:color="auto"/>
            <w:tcBorders>
              <w:top w:val="single" w:sz="4" w:space="0" w:color="CCCCCC"/>
              <w:bottom w:val="single" w:sz="4" w:space="0" w:color="CCCCCC"/>
              <w:left w:val="single" w:sz="4" w:space="0" w:color="CCCCCC"/>
              <w:right w:val="single" w:sz="4" w:space="0" w:color="CCCCCC"/>
            </w:tcBorders>
          </w:tcPr>
          <w:p>
            <w:pPr>
              <w:jc w:val="center"/>
            </w:pPr>
            <w:r>
              <w:rPr>
                <w:color w:val="333333"/>
                <w:sz w:val="18"/>
              </w:rPr>
              <w:t>49</w:t>
            </w:r>
          </w:p>
        </w:tc>
      </w:tr>
      <w:tr>
        <w:tc>
          <w:tcPr>
            <w:tcW w:type="dxa" w:w="1680"/>
            <w:tcBorders>
              <w:top w:val="single" w:sz="4" w:space="0" w:color="CCCCCC"/>
              <w:bottom w:val="single" w:sz="4" w:space="0" w:color="CCCCCC"/>
              <w:left w:val="single" w:sz="4" w:space="0" w:color="CCCCCC"/>
              <w:right w:val="single" w:sz="4" w:space="0" w:color="CCCCCC"/>
            </w:tcBorders>
          </w:tcPr>
          <w:p>
            <w:r>
              <w:rPr>
                <w:color w:val="333333"/>
                <w:sz w:val="18"/>
              </w:rPr>
              <w:t>CVE-2022-23975</w:t>
            </w:r>
          </w:p>
        </w:tc>
        <w:tc>
          <w:tcPr>
            <w:tcW w:type="dxa" w:w="1680"/>
            <w:tcBorders>
              <w:top w:val="single" w:sz="4" w:space="0" w:color="CCCCCC"/>
              <w:bottom w:val="single" w:sz="4" w:space="0" w:color="CCCCCC"/>
              <w:left w:val="single" w:sz="4" w:space="0" w:color="CCCCCC"/>
              <w:right w:val="single" w:sz="4" w:space="0" w:color="CCCCCC"/>
            </w:tcBorders>
          </w:tcPr>
          <w:p>
            <w:r>
              <w:rPr>
                <w:color w:val="333333"/>
                <w:sz w:val="18"/>
              </w:rPr>
              <w:t>WordPress Plugin: access-demo-importer</w:t>
            </w:r>
          </w:p>
        </w:tc>
        <w:tc>
          <w:tcPr>
            <w:tcW w:type="dxa" w:w="1680"/>
            <w:tcBorders>
              <w:top w:val="single" w:sz="4" w:space="0" w:color="CCCCCC"/>
              <w:bottom w:val="single" w:sz="4" w:space="0" w:color="CCCCCC"/>
              <w:left w:val="single" w:sz="4" w:space="0" w:color="CCCCCC"/>
              <w:right w:val="single" w:sz="4" w:space="0" w:color="CCCCCC"/>
            </w:tcBorders>
          </w:tcPr>
          <w:p>
            <w:r>
              <w:rPr>
                <w:color w:val="333333"/>
                <w:sz w:val="18"/>
              </w:rPr>
              <w:t>7 systems</w:t>
            </w:r>
          </w:p>
        </w:tc>
        <w:tc>
          <w:tcPr>
            <w:tcW w:type="dxa" w:w="1680"/>
            <w:shd w:fill="FFEBEE" w:val="clear" w:color="auto"/>
            <w:tcBorders>
              <w:top w:val="single" w:sz="4" w:space="0" w:color="CCCCCC"/>
              <w:bottom w:val="single" w:sz="4" w:space="0" w:color="CCCCCC"/>
              <w:left w:val="single" w:sz="4" w:space="0" w:color="CCCCCC"/>
              <w:right w:val="single" w:sz="4" w:space="0" w:color="CCCCCC"/>
            </w:tcBorders>
          </w:tcPr>
          <w:p>
            <w:r>
              <w:rPr>
                <w:color w:val="333333"/>
                <w:sz w:val="18"/>
              </w:rPr>
              <w:t>Minimal exploit probability (EPSS 0.18%)</w:t>
            </w:r>
          </w:p>
        </w:tc>
        <w:tc>
          <w:tcPr>
            <w:tcW w:type="dxa" w:w="1680"/>
            <w:shd w:fill="E8F5E9" w:val="clear" w:color="auto"/>
            <w:tcBorders>
              <w:top w:val="single" w:sz="4" w:space="0" w:color="CCCCCC"/>
              <w:bottom w:val="single" w:sz="4" w:space="0" w:color="CCCCCC"/>
              <w:left w:val="single" w:sz="4" w:space="0" w:color="CCCCCC"/>
              <w:right w:val="single" w:sz="4" w:space="0" w:color="CCCCCC"/>
            </w:tcBorders>
          </w:tcPr>
          <w:p>
            <w:pPr>
              <w:jc w:val="center"/>
            </w:pPr>
            <w:r>
              <w:rPr>
                <w:b/>
                <w:color w:val="333333"/>
                <w:sz w:val="18"/>
              </w:rPr>
              <w:t>P3</w:t>
            </w:r>
          </w:p>
        </w:tc>
        <w:tc>
          <w:tcPr>
            <w:tcW w:type="dxa" w:w="1680"/>
            <w:shd w:fill="FFEBEE" w:val="clear" w:color="auto"/>
            <w:tcBorders>
              <w:top w:val="single" w:sz="4" w:space="0" w:color="CCCCCC"/>
              <w:bottom w:val="single" w:sz="4" w:space="0" w:color="CCCCCC"/>
              <w:left w:val="single" w:sz="4" w:space="0" w:color="CCCCCC"/>
              <w:right w:val="single" w:sz="4" w:space="0" w:color="CCCCCC"/>
            </w:tcBorders>
          </w:tcPr>
          <w:p>
            <w:pPr>
              <w:jc w:val="center"/>
            </w:pPr>
            <w:r>
              <w:rPr>
                <w:color w:val="333333"/>
                <w:sz w:val="18"/>
              </w:rPr>
              <w:t>49</w:t>
            </w:r>
          </w:p>
        </w:tc>
      </w:tr>
      <w:tr>
        <w:tc>
          <w:tcPr>
            <w:tcW w:type="dxa" w:w="1680"/>
            <w:tcBorders>
              <w:top w:val="single" w:sz="4" w:space="0" w:color="CCCCCC"/>
              <w:bottom w:val="single" w:sz="4" w:space="0" w:color="CCCCCC"/>
              <w:left w:val="single" w:sz="4" w:space="0" w:color="CCCCCC"/>
              <w:right w:val="single" w:sz="4" w:space="0" w:color="CCCCCC"/>
            </w:tcBorders>
          </w:tcPr>
          <w:p>
            <w:r>
              <w:rPr>
                <w:color w:val="333333"/>
                <w:sz w:val="18"/>
              </w:rPr>
              <w:t>CVE-2022-4974</w:t>
            </w:r>
          </w:p>
        </w:tc>
        <w:tc>
          <w:tcPr>
            <w:tcW w:type="dxa" w:w="1680"/>
            <w:tcBorders>
              <w:top w:val="single" w:sz="4" w:space="0" w:color="CCCCCC"/>
              <w:bottom w:val="single" w:sz="4" w:space="0" w:color="CCCCCC"/>
              <w:left w:val="single" w:sz="4" w:space="0" w:color="CCCCCC"/>
              <w:right w:val="single" w:sz="4" w:space="0" w:color="CCCCCC"/>
            </w:tcBorders>
          </w:tcPr>
          <w:p>
            <w:r>
              <w:rPr>
                <w:color w:val="333333"/>
                <w:sz w:val="18"/>
              </w:rPr>
              <w:t>WordPress Plugin: 3d-viewer</w:t>
            </w:r>
          </w:p>
        </w:tc>
        <w:tc>
          <w:tcPr>
            <w:tcW w:type="dxa" w:w="1680"/>
            <w:tcBorders>
              <w:top w:val="single" w:sz="4" w:space="0" w:color="CCCCCC"/>
              <w:bottom w:val="single" w:sz="4" w:space="0" w:color="CCCCCC"/>
              <w:left w:val="single" w:sz="4" w:space="0" w:color="CCCCCC"/>
              <w:right w:val="single" w:sz="4" w:space="0" w:color="CCCCCC"/>
            </w:tcBorders>
          </w:tcPr>
          <w:p>
            <w:r>
              <w:rPr>
                <w:color w:val="333333"/>
                <w:sz w:val="18"/>
              </w:rPr>
              <w:t>6 systems</w:t>
            </w:r>
          </w:p>
        </w:tc>
        <w:tc>
          <w:tcPr>
            <w:tcW w:type="dxa" w:w="1680"/>
            <w:shd w:fill="FFEBEE" w:val="clear" w:color="auto"/>
            <w:tcBorders>
              <w:top w:val="single" w:sz="4" w:space="0" w:color="CCCCCC"/>
              <w:bottom w:val="single" w:sz="4" w:space="0" w:color="CCCCCC"/>
              <w:left w:val="single" w:sz="4" w:space="0" w:color="CCCCCC"/>
              <w:right w:val="single" w:sz="4" w:space="0" w:color="CCCCCC"/>
            </w:tcBorders>
          </w:tcPr>
          <w:p>
            <w:r>
              <w:rPr>
                <w:color w:val="333333"/>
                <w:sz w:val="18"/>
              </w:rPr>
              <w:t>Minimal exploit probability (EPSS 0.21%)</w:t>
            </w:r>
          </w:p>
        </w:tc>
        <w:tc>
          <w:tcPr>
            <w:tcW w:type="dxa" w:w="1680"/>
            <w:shd w:fill="E8F5E9" w:val="clear" w:color="auto"/>
            <w:tcBorders>
              <w:top w:val="single" w:sz="4" w:space="0" w:color="CCCCCC"/>
              <w:bottom w:val="single" w:sz="4" w:space="0" w:color="CCCCCC"/>
              <w:left w:val="single" w:sz="4" w:space="0" w:color="CCCCCC"/>
              <w:right w:val="single" w:sz="4" w:space="0" w:color="CCCCCC"/>
            </w:tcBorders>
          </w:tcPr>
          <w:p>
            <w:pPr>
              <w:jc w:val="center"/>
            </w:pPr>
            <w:r>
              <w:rPr>
                <w:b/>
                <w:color w:val="333333"/>
                <w:sz w:val="18"/>
              </w:rPr>
              <w:t>P3</w:t>
            </w:r>
          </w:p>
        </w:tc>
        <w:tc>
          <w:tcPr>
            <w:tcW w:type="dxa" w:w="1680"/>
            <w:shd w:fill="FFEBEE" w:val="clear" w:color="auto"/>
            <w:tcBorders>
              <w:top w:val="single" w:sz="4" w:space="0" w:color="CCCCCC"/>
              <w:bottom w:val="single" w:sz="4" w:space="0" w:color="CCCCCC"/>
              <w:left w:val="single" w:sz="4" w:space="0" w:color="CCCCCC"/>
              <w:right w:val="single" w:sz="4" w:space="0" w:color="CCCCCC"/>
            </w:tcBorders>
          </w:tcPr>
          <w:p>
            <w:pPr>
              <w:jc w:val="center"/>
            </w:pPr>
            <w:r>
              <w:rPr>
                <w:color w:val="333333"/>
                <w:sz w:val="18"/>
              </w:rPr>
              <w:t>49</w:t>
            </w:r>
          </w:p>
        </w:tc>
      </w:tr>
    </w:tbl>
    <w:p>
      <w:pPr>
        <w:jc w:val="left"/>
      </w:pPr>
      <w:r>
        <w:rPr>
          <w:rFonts w:ascii="Arial" w:hAnsi="Arial"/>
          <w:i/>
          <w:color w:val="666666"/>
          <w:sz w:val="14"/>
        </w:rPr>
        <w:t>Priority: P1 = Address immediately (24-48 hours) • P2 = Patch within 7-14 days • P3 = Schedule within 30 days   |   Wks = consecutive weeks detected. Items at 3+ weeks (yellow) are persistent and require escalation. Items at 4+ weeks (red) are long overdue. Source: Rapid7 InsightVM scans.</w:t>
      </w:r>
    </w:p>
    <w:p/>
    <w:p>
      <w:pPr>
        <w:pStyle w:val="Heading1"/>
      </w:pPr>
      <w:r>
        <w:rPr>
          <w:rFonts w:ascii="Arial" w:hAnsi="Arial"/>
          <w:color w:val="FF5C41"/>
          <w:sz w:val="28"/>
        </w:rPr>
        <w:t>Sector Threat Activity</w:t>
      </w:r>
    </w:p>
    <w:p>
      <w:r>
        <w:rPr>
          <w:i/>
          <w:color w:val="666666"/>
          <w:sz w:val="20"/>
        </w:rPr>
        <w:t>The following threat actors have been observed targeting organizations in the biotech, pharmaceutical, healthcare, manufacturing, and related sectors this week.</w:t>
      </w:r>
    </w:p>
    <w:p/>
    <w:tbl>
      <w:tblPr>
        <w:tblW w:type="auto" w:w="0"/>
        <w:tblLook w:firstColumn="1" w:firstRow="1" w:lastColumn="0" w:lastRow="0" w:noHBand="0" w:noVBand="1" w:val="04A0"/>
      </w:tblPr>
      <w:tblGrid>
        <w:gridCol w:w="3360"/>
        <w:gridCol w:w="3360"/>
        <w:gridCol w:w="3360"/>
      </w:tblGrid>
      <w:tr>
        <w:tc>
          <w:tcPr>
            <w:tcW w:type="dxa" w:w="3360"/>
            <w:shd w:fill="E65100" w:val="clear" w:color="auto"/>
            <w:tcBorders>
              <w:top w:val="single" w:sz="4" w:space="0" w:color="CCCCCC"/>
              <w:bottom w:val="single" w:sz="4" w:space="0" w:color="CCCCCC"/>
              <w:left w:val="single" w:sz="4" w:space="0" w:color="CCCCCC"/>
              <w:right w:val="single" w:sz="4" w:space="0" w:color="CCCCCC"/>
            </w:tcBorders>
          </w:tcPr>
          <w:p>
            <w:r>
              <w:rPr>
                <w:b/>
                <w:color w:val="FFFFFF"/>
                <w:sz w:val="18"/>
              </w:rPr>
              <w:t>Origin / Motivation</w:t>
            </w:r>
          </w:p>
        </w:tc>
        <w:tc>
          <w:tcPr>
            <w:tcW w:type="dxa" w:w="3360"/>
            <w:shd w:fill="E65100" w:val="clear" w:color="auto"/>
            <w:tcBorders>
              <w:top w:val="single" w:sz="4" w:space="0" w:color="CCCCCC"/>
              <w:bottom w:val="single" w:sz="4" w:space="0" w:color="CCCCCC"/>
              <w:left w:val="single" w:sz="4" w:space="0" w:color="CCCCCC"/>
              <w:right w:val="single" w:sz="4" w:space="0" w:color="CCCCCC"/>
            </w:tcBorders>
          </w:tcPr>
          <w:p>
            <w:r>
              <w:rPr>
                <w:b/>
                <w:color w:val="FFFFFF"/>
                <w:sz w:val="18"/>
              </w:rPr>
              <w:t>Activity Observed</w:t>
            </w:r>
          </w:p>
        </w:tc>
        <w:tc>
          <w:tcPr>
            <w:tcW w:type="dxa" w:w="3360"/>
            <w:shd w:fill="E65100" w:val="clear" w:color="auto"/>
            <w:tcBorders>
              <w:top w:val="single" w:sz="4" w:space="0" w:color="CCCCCC"/>
              <w:bottom w:val="single" w:sz="4" w:space="0" w:color="CCCCCC"/>
              <w:left w:val="single" w:sz="4" w:space="0" w:color="CCCCCC"/>
              <w:right w:val="single" w:sz="4" w:space="0" w:color="CCCCCC"/>
            </w:tcBorders>
          </w:tcPr>
          <w:p>
            <w:r>
              <w:rPr>
                <w:b/>
                <w:color w:val="FFFFFF"/>
                <w:sz w:val="18"/>
              </w:rPr>
              <w:t>What to Monitor</w:t>
            </w:r>
          </w:p>
        </w:tc>
      </w:tr>
      <w:tr>
        <w:tc>
          <w:tcPr>
            <w:tcW w:type="dxa" w:w="3360"/>
            <w:shd w:fill="F5F5F5" w:val="clear" w:color="auto"/>
            <w:tcBorders>
              <w:top w:val="single" w:sz="4" w:space="0" w:color="CCCCCC"/>
              <w:bottom w:val="single" w:sz="4" w:space="0" w:color="CCCCCC"/>
              <w:left w:val="single" w:sz="4" w:space="0" w:color="CCCCCC"/>
              <w:right w:val="single" w:sz="4" w:space="0" w:color="CCCCCC"/>
            </w:tcBorders>
          </w:tcPr>
          <w:p>
            <w:r>
              <w:rPr>
                <w:color w:val="333333"/>
                <w:sz w:val="18"/>
              </w:rPr>
              <w:t>Unknown</w:t>
              <w:br/>
              <w:t>Criminal</w:t>
            </w:r>
          </w:p>
        </w:tc>
        <w:tc>
          <w:tcPr>
            <w:tcW w:type="dxa" w:w="3360"/>
            <w:tcBorders>
              <w:top w:val="single" w:sz="4" w:space="0" w:color="CCCCCC"/>
              <w:bottom w:val="single" w:sz="4" w:space="0" w:color="CCCCCC"/>
              <w:left w:val="single" w:sz="4" w:space="0" w:color="CCCCCC"/>
              <w:right w:val="single" w:sz="4" w:space="0" w:color="CCCCCC"/>
            </w:tcBorders>
          </w:tcPr>
          <w:p>
            <w:r>
              <w:rPr>
                <w:color w:val="333333"/>
                <w:sz w:val="18"/>
              </w:rPr>
              <w:t>VICE SPIDER</w:t>
            </w:r>
          </w:p>
        </w:tc>
        <w:tc>
          <w:tcPr>
            <w:tcW w:type="dxa" w:w="3360"/>
            <w:shd w:fill="E3F2FD" w:val="clear" w:color="auto"/>
            <w:tcBorders>
              <w:top w:val="single" w:sz="4" w:space="0" w:color="CCCCCC"/>
              <w:bottom w:val="single" w:sz="4" w:space="0" w:color="CCCCCC"/>
              <w:left w:val="single" w:sz="4" w:space="0" w:color="CCCCCC"/>
              <w:right w:val="single" w:sz="4" w:space="0" w:color="CCCCCC"/>
            </w:tcBorders>
          </w:tcPr>
          <w:p>
            <w:r>
              <w:rPr>
                <w:color w:val="333333"/>
                <w:sz w:val="18"/>
              </w:rPr>
              <w:t>Monitor for ransomware activity, suspicious file encryption, and lateral movement across laboratory and production networks.</w:t>
            </w:r>
          </w:p>
        </w:tc>
      </w:tr>
      <w:tr>
        <w:tc>
          <w:tcPr>
            <w:tcW w:type="dxa" w:w="3360"/>
            <w:shd w:fill="F5F5F5" w:val="clear" w:color="auto"/>
            <w:tcBorders>
              <w:top w:val="single" w:sz="4" w:space="0" w:color="CCCCCC"/>
              <w:bottom w:val="single" w:sz="4" w:space="0" w:color="CCCCCC"/>
              <w:left w:val="single" w:sz="4" w:space="0" w:color="CCCCCC"/>
              <w:right w:val="single" w:sz="4" w:space="0" w:color="CCCCCC"/>
            </w:tcBorders>
          </w:tcPr>
          <w:p>
            <w:r>
              <w:rPr>
                <w:color w:val="333333"/>
                <w:sz w:val="18"/>
              </w:rPr>
              <w:t>Russian Federation</w:t>
              <w:br/>
              <w:t>Criminal</w:t>
            </w:r>
          </w:p>
        </w:tc>
        <w:tc>
          <w:tcPr>
            <w:tcW w:type="dxa" w:w="3360"/>
            <w:tcBorders>
              <w:top w:val="single" w:sz="4" w:space="0" w:color="CCCCCC"/>
              <w:bottom w:val="single" w:sz="4" w:space="0" w:color="CCCCCC"/>
              <w:left w:val="single" w:sz="4" w:space="0" w:color="CCCCCC"/>
              <w:right w:val="single" w:sz="4" w:space="0" w:color="CCCCCC"/>
            </w:tcBorders>
          </w:tcPr>
          <w:p>
            <w:r>
              <w:rPr>
                <w:color w:val="333333"/>
                <w:sz w:val="18"/>
              </w:rPr>
              <w:t>TRAVELING SPIDER</w:t>
            </w:r>
          </w:p>
        </w:tc>
        <w:tc>
          <w:tcPr>
            <w:tcW w:type="dxa" w:w="3360"/>
            <w:shd w:fill="E3F2FD" w:val="clear" w:color="auto"/>
            <w:tcBorders>
              <w:top w:val="single" w:sz="4" w:space="0" w:color="CCCCCC"/>
              <w:bottom w:val="single" w:sz="4" w:space="0" w:color="CCCCCC"/>
              <w:left w:val="single" w:sz="4" w:space="0" w:color="CCCCCC"/>
              <w:right w:val="single" w:sz="4" w:space="0" w:color="CCCCCC"/>
            </w:tcBorders>
          </w:tcPr>
          <w:p>
            <w:r>
              <w:rPr>
                <w:color w:val="333333"/>
                <w:sz w:val="18"/>
              </w:rPr>
              <w:t>Watch for credential harvesting, unauthorized access attempts, and anomalous outbound traffic to Russian Federation.</w:t>
            </w:r>
          </w:p>
        </w:tc>
      </w:tr>
      <w:tr>
        <w:tc>
          <w:tcPr>
            <w:tcW w:type="dxa" w:w="3360"/>
            <w:shd w:fill="F5F5F5" w:val="clear" w:color="auto"/>
            <w:tcBorders>
              <w:top w:val="single" w:sz="4" w:space="0" w:color="CCCCCC"/>
              <w:bottom w:val="single" w:sz="4" w:space="0" w:color="CCCCCC"/>
              <w:left w:val="single" w:sz="4" w:space="0" w:color="CCCCCC"/>
              <w:right w:val="single" w:sz="4" w:space="0" w:color="CCCCCC"/>
            </w:tcBorders>
          </w:tcPr>
          <w:p>
            <w:r>
              <w:rPr>
                <w:color w:val="333333"/>
                <w:sz w:val="18"/>
              </w:rPr>
              <w:t>North Korea</w:t>
              <w:br/>
              <w:t>State-Sponsored</w:t>
            </w:r>
          </w:p>
        </w:tc>
        <w:tc>
          <w:tcPr>
            <w:tcW w:type="dxa" w:w="3360"/>
            <w:tcBorders>
              <w:top w:val="single" w:sz="4" w:space="0" w:color="CCCCCC"/>
              <w:bottom w:val="single" w:sz="4" w:space="0" w:color="CCCCCC"/>
              <w:left w:val="single" w:sz="4" w:space="0" w:color="CCCCCC"/>
              <w:right w:val="single" w:sz="4" w:space="0" w:color="CCCCCC"/>
            </w:tcBorders>
          </w:tcPr>
          <w:p>
            <w:r>
              <w:rPr>
                <w:color w:val="333333"/>
                <w:sz w:val="18"/>
              </w:rPr>
              <w:t>RICOCHET CHOLLIMA</w:t>
            </w:r>
          </w:p>
        </w:tc>
        <w:tc>
          <w:tcPr>
            <w:tcW w:type="dxa" w:w="3360"/>
            <w:shd w:fill="E3F2FD" w:val="clear" w:color="auto"/>
            <w:tcBorders>
              <w:top w:val="single" w:sz="4" w:space="0" w:color="CCCCCC"/>
              <w:bottom w:val="single" w:sz="4" w:space="0" w:color="CCCCCC"/>
              <w:left w:val="single" w:sz="4" w:space="0" w:color="CCCCCC"/>
              <w:right w:val="single" w:sz="4" w:space="0" w:color="CCCCCC"/>
            </w:tcBorders>
          </w:tcPr>
          <w:p>
            <w:r>
              <w:rPr>
                <w:color w:val="333333"/>
                <w:sz w:val="18"/>
              </w:rPr>
              <w:t>Monitor for spear phishing, unusual login activity, and connections to Asia-Pacific regions.</w:t>
            </w:r>
          </w:p>
        </w:tc>
      </w:tr>
    </w:tbl>
    <w:p/>
    <w:p>
      <w:pPr>
        <w:pStyle w:val="Heading1"/>
      </w:pPr>
      <w:r>
        <w:rPr>
          <w:rFonts w:ascii="Arial" w:hAnsi="Arial"/>
          <w:color w:val="FF5C41"/>
          <w:sz w:val="28"/>
        </w:rPr>
        <w:t>Exploitation Indicators for This Week's CVEs</w:t>
      </w:r>
    </w:p>
    <w:p>
      <w:pPr>
        <w:pStyle w:val="ListBullet"/>
      </w:pPr>
      <w:r>
        <w:rPr>
          <w:b/>
          <w:sz w:val="20"/>
        </w:rPr>
        <w:t>CVE-2023-33999 (WordPress Plugin: 2mb-autocode): Remote code execution vulnerability in a widely deployed software component.</w:t>
      </w:r>
    </w:p>
    <w:p>
      <w:pPr>
        <w:pStyle w:val="ListBullet"/>
      </w:pPr>
      <w:r>
        <w:rPr>
          <w:b/>
          <w:sz w:val="20"/>
        </w:rPr>
        <w:t>CVE-2021-39317 (WordPress Plugin: access-demo-importer): Sensitive information exposure vulnerability affecting authentication mechanisms.</w:t>
      </w:r>
    </w:p>
    <w:p>
      <w:pPr>
        <w:pStyle w:val="ListBullet"/>
      </w:pPr>
      <w:r>
        <w:rPr>
          <w:b/>
          <w:sz w:val="20"/>
        </w:rPr>
        <w:t>CVE-2022-23975 (WordPress Plugin: access-demo-importer): Privilege escalation vulnerability in a core operating system component.</w:t>
      </w:r>
    </w:p>
    <w:p>
      <w:pPr>
        <w:pStyle w:val="ListBullet"/>
      </w:pPr>
      <w:r>
        <w:rPr>
          <w:b/>
          <w:sz w:val="20"/>
        </w:rPr>
        <w:t>CVE-2022-4974 (WordPress Plugin: 3d-viewer): Buffer overflow vulnerability in a network service.</w:t>
      </w:r>
    </w:p>
    <w:p/>
    <w:p>
      <w:pPr>
        <w:pStyle w:val="Heading1"/>
      </w:pPr>
      <w:r>
        <w:rPr>
          <w:rFonts w:ascii="Arial" w:hAnsi="Arial"/>
          <w:color w:val="FF5C41"/>
          <w:sz w:val="28"/>
        </w:rPr>
        <w:t>Recommended Actions</w:t>
      </w:r>
    </w:p>
    <w:p>
      <w:pPr>
        <w:pStyle w:val="ListBullet"/>
      </w:pPr>
      <w:r>
        <w:rPr>
          <w:b/>
          <w:sz w:val="20"/>
        </w:rPr>
        <w:t>Immediately patch or mitigate all critical and high severity vulnerabilities detected on laboratory and production systems, prioritizing those with wide exposure (e.g., CVE-2023-33999, CVE-2021-39317, CVE-2022-23975).</w:t>
      </w:r>
    </w:p>
    <w:p>
      <w:pPr>
        <w:pStyle w:val="ListBullet"/>
      </w:pPr>
      <w:r>
        <w:rPr>
          <w:sz w:val="20"/>
        </w:rPr>
        <w:t>Enhance monitoring for ransomware and state-sponsored threat actor activity, including lateral movement, credential harvesting, and anomalous outbound traffic.</w:t>
      </w:r>
    </w:p>
    <w:p>
      <w:pPr>
        <w:pStyle w:val="ListBullet"/>
      </w:pPr>
      <w:r>
        <w:rPr>
          <w:sz w:val="20"/>
        </w:rPr>
        <w:t>Implement network segmentation and access controls for laboratory equipment and IoT devices to reduce risk of exploitation.</w:t>
      </w:r>
    </w:p>
    <w:p>
      <w:pPr>
        <w:pStyle w:val="ListBullet"/>
      </w:pPr>
      <w:r>
        <w:rPr>
          <w:b/>
          <w:sz w:val="20"/>
        </w:rPr>
        <w:t>Conduct supply chain and vendor security reviews, focusing on persistent malware threats highlighted in OSINT reporting (e.g., Firestarter malware, BlackFile extortion group).</w:t>
      </w:r>
    </w:p>
    <w:p>
      <w:pPr>
        <w:pStyle w:val="ListBullet"/>
      </w:pPr>
      <w:r>
        <w:rPr>
          <w:sz w:val="20"/>
        </w:rPr>
        <w:t>Monitor for AI-powered phishing and extortion campaigns targeting healthcare and manufacturing staff, as referenced in recent OSINT articles.</w:t>
      </w:r>
    </w:p>
    <w:p/>
    <w:p>
      <w:pPr>
        <w:pStyle w:val="Heading1"/>
      </w:pPr>
      <w:r>
        <w:rPr>
          <w:rFonts w:ascii="Arial" w:hAnsi="Arial"/>
          <w:color w:val="FF5C41"/>
          <w:sz w:val="28"/>
        </w:rPr>
        <w:t>Sources</w:t>
      </w:r>
    </w:p>
    <w:p>
      <w:pPr>
        <w:pStyle w:val="ListBullet"/>
      </w:pPr>
      <w:r>
        <w:rPr>
          <w:b/>
          <w:sz w:val="20"/>
        </w:rPr>
        <w:t>NIST National Vulnerability Database (NVD)</w:t>
      </w:r>
      <w:r>
        <w:rPr>
          <w:color w:val="666666"/>
          <w:sz w:val="20"/>
        </w:rPr>
        <w:t xml:space="preserve">  https://nvd.nist.gov/</w:t>
      </w:r>
    </w:p>
    <w:p>
      <w:pPr>
        <w:pStyle w:val="ListBullet"/>
      </w:pPr>
      <w:r>
        <w:rPr>
          <w:b/>
          <w:sz w:val="20"/>
        </w:rPr>
        <w:t>CISA Known Exploited Vulnerabilities (KEV) Catalog</w:t>
      </w:r>
      <w:r>
        <w:rPr>
          <w:color w:val="666666"/>
          <w:sz w:val="20"/>
        </w:rPr>
        <w:t xml:space="preserve">  https://www.cisa.gov/known-exploited-vulnerabilities-catalog</w:t>
      </w:r>
    </w:p>
    <w:p>
      <w:pPr>
        <w:pStyle w:val="ListBullet"/>
      </w:pPr>
      <w:r>
        <w:rPr>
          <w:b/>
          <w:sz w:val="20"/>
        </w:rPr>
        <w:t>Rapid7 InsightVM</w:t>
      </w:r>
      <w:r>
        <w:rPr>
          <w:color w:val="666666"/>
          <w:sz w:val="20"/>
        </w:rPr>
        <w:t xml:space="preserve"> — Asset vulnerability scans and exposure data</w:t>
      </w:r>
    </w:p>
    <w:p>
      <w:pPr>
        <w:pStyle w:val="ListBullet"/>
      </w:pPr>
      <w:r>
        <w:rPr>
          <w:b/>
          <w:sz w:val="20"/>
        </w:rPr>
        <w:t>CrowdStrike Falcon Intelligence</w:t>
      </w:r>
      <w:r>
        <w:rPr>
          <w:color w:val="666666"/>
          <w:sz w:val="20"/>
        </w:rPr>
        <w:t xml:space="preserve"> — Threat actor profiles and APT tracking</w:t>
      </w:r>
    </w:p>
    <w:p>
      <w:pPr>
        <w:pStyle w:val="ListBullet"/>
      </w:pPr>
      <w:r>
        <w:rPr>
          <w:b/>
          <w:sz w:val="20"/>
        </w:rPr>
        <w:t>Intel471 Titan</w:t>
      </w:r>
      <w:r>
        <w:rPr>
          <w:color w:val="666666"/>
          <w:sz w:val="20"/>
        </w:rPr>
        <w:t xml:space="preserve"> — Underground threat intelligence and breach reporting</w:t>
      </w:r>
    </w:p>
    <w:p>
      <w:pPr>
        <w:pStyle w:val="ListBullet"/>
      </w:pPr>
      <w:r>
        <w:rPr>
          <w:b/>
          <w:sz w:val="20"/>
        </w:rPr>
        <w:t>ThreatQ</w:t>
      </w:r>
      <w:r>
        <w:rPr>
          <w:color w:val="666666"/>
          <w:sz w:val="20"/>
        </w:rPr>
        <w:t xml:space="preserve"> — Indicator of compromise (IOC) aggregation</w:t>
      </w:r>
    </w:p>
    <w:p>
      <w:pPr>
        <w:pStyle w:val="ListBullet"/>
      </w:pPr>
      <w:r>
        <w:rPr>
          <w:b/>
          <w:sz w:val="20"/>
        </w:rPr>
        <w:t>MITRE ATT&amp;CK</w:t>
      </w:r>
      <w:r>
        <w:rPr>
          <w:color w:val="666666"/>
          <w:sz w:val="20"/>
        </w:rPr>
        <w:t xml:space="preserve">  https://attack.mitre.org/</w:t>
      </w:r>
    </w:p>
    <w:p/>
    <w:p>
      <w:pPr>
        <w:pStyle w:val="Heading1"/>
      </w:pPr>
      <w:r>
        <w:rPr>
          <w:rFonts w:ascii="Arial" w:hAnsi="Arial"/>
          <w:color w:val="FF5C41"/>
          <w:sz w:val="28"/>
        </w:rPr>
        <w:t>Priority Scoring Methodology</w:t>
      </w:r>
    </w:p>
    <w:p>
      <w:r>
        <w:rPr>
          <w:rFonts w:ascii="Arial" w:hAnsi="Arial"/>
          <w:color w:val="333333"/>
          <w:sz w:val="20"/>
        </w:rPr>
        <w:t>Vulnerability priority (P1/P2/P3) is computed using a deterministic weighted scoring model. Each CVE is scored on a 0–100 scale across five factors, then mapped to a priority tier.</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shd w:fill="333333" w:val="clear" w:color="auto"/>
          </w:tcPr>
          <w:p>
            <w:r>
              <w:rPr>
                <w:rFonts w:ascii="Arial" w:hAnsi="Arial"/>
                <w:b/>
                <w:color w:val="FFFFFF"/>
                <w:sz w:val="18"/>
              </w:rPr>
              <w:t>Factor (Weight)</w:t>
            </w:r>
          </w:p>
        </w:tc>
        <w:tc>
          <w:tcPr>
            <w:tcW w:type="dxa" w:w="3360"/>
            <w:shd w:fill="333333" w:val="clear" w:color="auto"/>
          </w:tcPr>
          <w:p>
            <w:r>
              <w:rPr>
                <w:rFonts w:ascii="Arial" w:hAnsi="Arial"/>
                <w:b/>
                <w:color w:val="FFFFFF"/>
                <w:sz w:val="18"/>
              </w:rPr>
              <w:t>Criteria</w:t>
            </w:r>
          </w:p>
        </w:tc>
        <w:tc>
          <w:tcPr>
            <w:tcW w:type="dxa" w:w="3360"/>
            <w:shd w:fill="333333" w:val="clear" w:color="auto"/>
          </w:tcPr>
          <w:p>
            <w:r>
              <w:rPr>
                <w:rFonts w:ascii="Arial" w:hAnsi="Arial"/>
                <w:b/>
                <w:color w:val="FFFFFF"/>
                <w:sz w:val="18"/>
              </w:rPr>
              <w:t>Points</w:t>
            </w:r>
          </w:p>
        </w:tc>
      </w:tr>
      <w:tr>
        <w:tc>
          <w:tcPr>
            <w:tcW w:type="dxa" w:w="3360"/>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333333"/>
                <w:sz w:val="18"/>
              </w:rPr>
              <w:t>CVSS Severity (0–30)</w:t>
            </w:r>
          </w:p>
        </w:tc>
        <w:tc>
          <w:tcPr>
            <w:tcW w:type="dxa" w:w="3360"/>
            <w:tcBorders>
              <w:top w:val="single" w:sz="4" w:space="0" w:color="CCCCCC"/>
              <w:bottom w:val="single" w:sz="4" w:space="0" w:color="CCCCCC"/>
              <w:left w:val="single" w:sz="4" w:space="0" w:color="CCCCCC"/>
              <w:right w:val="single" w:sz="4" w:space="0" w:color="CCCCCC"/>
            </w:tcBorders>
          </w:tcPr>
          <w:p>
            <w:pPr>
              <w:jc w:val="left"/>
            </w:pPr>
            <w:r>
              <w:rPr>
                <w:rFonts w:ascii="Arial" w:hAnsi="Arial"/>
                <w:color w:val="333333"/>
                <w:sz w:val="18"/>
              </w:rPr>
              <w:t>Critical (9.0+)</w:t>
            </w:r>
          </w:p>
        </w:tc>
        <w:tc>
          <w:tcPr>
            <w:tcW w:type="dxa" w:w="3360"/>
            <w:tcBorders>
              <w:top w:val="single" w:sz="4" w:space="0" w:color="CCCCCC"/>
              <w:bottom w:val="single" w:sz="4" w:space="0" w:color="CCCCCC"/>
              <w:left w:val="single" w:sz="4" w:space="0" w:color="CCCCCC"/>
              <w:right w:val="single" w:sz="4" w:space="0" w:color="CCCCCC"/>
            </w:tcBorders>
          </w:tcPr>
          <w:p>
            <w:pPr>
              <w:jc w:val="left"/>
            </w:pPr>
            <w:r>
              <w:rPr>
                <w:rFonts w:ascii="Arial" w:hAnsi="Arial"/>
                <w:color w:val="333333"/>
                <w:sz w:val="18"/>
              </w:rPr>
              <w:t>30</w:t>
            </w:r>
          </w:p>
        </w:tc>
      </w:tr>
      <w:tr>
        <w:tc>
          <w:tcPr>
            <w:tcW w:type="dxa" w:w="3360"/>
            <w:tcBorders>
              <w:top w:val="single" w:sz="4" w:space="0" w:color="CCCCCC"/>
              <w:bottom w:val="single" w:sz="4" w:space="0" w:color="CCCCCC"/>
              <w:left w:val="single" w:sz="4" w:space="0" w:color="CCCCCC"/>
              <w:right w:val="single" w:sz="4" w:space="0" w:color="CCCCCC"/>
            </w:tcBorders>
          </w:tcPr>
          <w:p>
            <w:pPr>
              <w:jc w:val="left"/>
            </w:pPr>
            <w:r>
              <w:rPr>
                <w:rFonts w:ascii="Arial" w:hAnsi="Arial"/>
                <w:color w:val="333333"/>
                <w:sz w:val="18"/>
              </w:rPr>
            </w:r>
          </w:p>
        </w:tc>
        <w:tc>
          <w:tcPr>
            <w:tcW w:type="dxa" w:w="3360"/>
            <w:tcBorders>
              <w:top w:val="single" w:sz="4" w:space="0" w:color="CCCCCC"/>
              <w:bottom w:val="single" w:sz="4" w:space="0" w:color="CCCCCC"/>
              <w:left w:val="single" w:sz="4" w:space="0" w:color="CCCCCC"/>
              <w:right w:val="single" w:sz="4" w:space="0" w:color="CCCCCC"/>
            </w:tcBorders>
          </w:tcPr>
          <w:p>
            <w:pPr>
              <w:jc w:val="left"/>
            </w:pPr>
            <w:r>
              <w:rPr>
                <w:rFonts w:ascii="Arial" w:hAnsi="Arial"/>
                <w:color w:val="333333"/>
                <w:sz w:val="18"/>
              </w:rPr>
              <w:t>High (7.0–8.9)</w:t>
            </w:r>
          </w:p>
        </w:tc>
        <w:tc>
          <w:tcPr>
            <w:tcW w:type="dxa" w:w="3360"/>
            <w:tcBorders>
              <w:top w:val="single" w:sz="4" w:space="0" w:color="CCCCCC"/>
              <w:bottom w:val="single" w:sz="4" w:space="0" w:color="CCCCCC"/>
              <w:left w:val="single" w:sz="4" w:space="0" w:color="CCCCCC"/>
              <w:right w:val="single" w:sz="4" w:space="0" w:color="CCCCCC"/>
            </w:tcBorders>
          </w:tcPr>
          <w:p>
            <w:pPr>
              <w:jc w:val="left"/>
            </w:pPr>
            <w:r>
              <w:rPr>
                <w:rFonts w:ascii="Arial" w:hAnsi="Arial"/>
                <w:color w:val="333333"/>
                <w:sz w:val="18"/>
              </w:rPr>
              <w:t>20</w:t>
            </w:r>
          </w:p>
        </w:tc>
      </w:tr>
      <w:tr>
        <w:tc>
          <w:tcPr>
            <w:tcW w:type="dxa" w:w="3360"/>
            <w:tcBorders>
              <w:top w:val="single" w:sz="4" w:space="0" w:color="CCCCCC"/>
              <w:bottom w:val="single" w:sz="4" w:space="0" w:color="CCCCCC"/>
              <w:left w:val="single" w:sz="4" w:space="0" w:color="CCCCCC"/>
              <w:right w:val="single" w:sz="4" w:space="0" w:color="CCCCCC"/>
            </w:tcBorders>
          </w:tcPr>
          <w:p>
            <w:pPr>
              <w:jc w:val="left"/>
            </w:pPr>
            <w:r>
              <w:rPr>
                <w:rFonts w:ascii="Arial" w:hAnsi="Arial"/>
                <w:color w:val="333333"/>
                <w:sz w:val="18"/>
              </w:rPr>
            </w:r>
          </w:p>
        </w:tc>
        <w:tc>
          <w:tcPr>
            <w:tcW w:type="dxa" w:w="3360"/>
            <w:tcBorders>
              <w:top w:val="single" w:sz="4" w:space="0" w:color="CCCCCC"/>
              <w:bottom w:val="single" w:sz="4" w:space="0" w:color="CCCCCC"/>
              <w:left w:val="single" w:sz="4" w:space="0" w:color="CCCCCC"/>
              <w:right w:val="single" w:sz="4" w:space="0" w:color="CCCCCC"/>
            </w:tcBorders>
          </w:tcPr>
          <w:p>
            <w:pPr>
              <w:jc w:val="left"/>
            </w:pPr>
            <w:r>
              <w:rPr>
                <w:rFonts w:ascii="Arial" w:hAnsi="Arial"/>
                <w:color w:val="333333"/>
                <w:sz w:val="18"/>
              </w:rPr>
              <w:t>Medium (4.0–6.9)</w:t>
            </w:r>
          </w:p>
        </w:tc>
        <w:tc>
          <w:tcPr>
            <w:tcW w:type="dxa" w:w="3360"/>
            <w:tcBorders>
              <w:top w:val="single" w:sz="4" w:space="0" w:color="CCCCCC"/>
              <w:bottom w:val="single" w:sz="4" w:space="0" w:color="CCCCCC"/>
              <w:left w:val="single" w:sz="4" w:space="0" w:color="CCCCCC"/>
              <w:right w:val="single" w:sz="4" w:space="0" w:color="CCCCCC"/>
            </w:tcBorders>
          </w:tcPr>
          <w:p>
            <w:pPr>
              <w:jc w:val="left"/>
            </w:pPr>
            <w:r>
              <w:rPr>
                <w:rFonts w:ascii="Arial" w:hAnsi="Arial"/>
                <w:color w:val="333333"/>
                <w:sz w:val="18"/>
              </w:rPr>
              <w:t>10</w:t>
            </w:r>
          </w:p>
        </w:tc>
      </w:tr>
      <w:tr>
        <w:tc>
          <w:tcPr>
            <w:tcW w:type="dxa" w:w="3360"/>
            <w:tcBorders>
              <w:top w:val="single" w:sz="4" w:space="0" w:color="CCCCCC"/>
              <w:bottom w:val="single" w:sz="4" w:space="0" w:color="CCCCCC"/>
              <w:left w:val="single" w:sz="4" w:space="0" w:color="CCCCCC"/>
              <w:right w:val="single" w:sz="4" w:space="0" w:color="CCCCCC"/>
            </w:tcBorders>
          </w:tcPr>
          <w:p>
            <w:pPr>
              <w:jc w:val="left"/>
            </w:pPr>
            <w:r>
              <w:rPr>
                <w:rFonts w:ascii="Arial" w:hAnsi="Arial"/>
                <w:color w:val="333333"/>
                <w:sz w:val="18"/>
              </w:rPr>
            </w:r>
          </w:p>
        </w:tc>
        <w:tc>
          <w:tcPr>
            <w:tcW w:type="dxa" w:w="3360"/>
            <w:tcBorders>
              <w:top w:val="single" w:sz="4" w:space="0" w:color="CCCCCC"/>
              <w:bottom w:val="single" w:sz="4" w:space="0" w:color="CCCCCC"/>
              <w:left w:val="single" w:sz="4" w:space="0" w:color="CCCCCC"/>
              <w:right w:val="single" w:sz="4" w:space="0" w:color="CCCCCC"/>
            </w:tcBorders>
          </w:tcPr>
          <w:p>
            <w:pPr>
              <w:jc w:val="left"/>
            </w:pPr>
            <w:r>
              <w:rPr>
                <w:rFonts w:ascii="Arial" w:hAnsi="Arial"/>
                <w:color w:val="333333"/>
                <w:sz w:val="18"/>
              </w:rPr>
              <w:t>Low (&lt;4.0)</w:t>
            </w:r>
          </w:p>
        </w:tc>
        <w:tc>
          <w:tcPr>
            <w:tcW w:type="dxa" w:w="3360"/>
            <w:tcBorders>
              <w:top w:val="single" w:sz="4" w:space="0" w:color="CCCCCC"/>
              <w:bottom w:val="single" w:sz="4" w:space="0" w:color="CCCCCC"/>
              <w:left w:val="single" w:sz="4" w:space="0" w:color="CCCCCC"/>
              <w:right w:val="single" w:sz="4" w:space="0" w:color="CCCCCC"/>
            </w:tcBorders>
          </w:tcPr>
          <w:p>
            <w:pPr>
              <w:jc w:val="left"/>
            </w:pPr>
            <w:r>
              <w:rPr>
                <w:rFonts w:ascii="Arial" w:hAnsi="Arial"/>
                <w:color w:val="333333"/>
                <w:sz w:val="18"/>
              </w:rPr>
              <w:t>5</w:t>
            </w:r>
          </w:p>
        </w:tc>
      </w:tr>
      <w:tr>
        <w:tc>
          <w:tcPr>
            <w:tcW w:type="dxa" w:w="3360"/>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333333"/>
                <w:sz w:val="18"/>
              </w:rPr>
              <w:t>EPSS Score (0–30)</w:t>
            </w:r>
          </w:p>
        </w:tc>
        <w:tc>
          <w:tcPr>
            <w:tcW w:type="dxa" w:w="3360"/>
            <w:tcBorders>
              <w:top w:val="single" w:sz="4" w:space="0" w:color="CCCCCC"/>
              <w:bottom w:val="single" w:sz="4" w:space="0" w:color="CCCCCC"/>
              <w:left w:val="single" w:sz="4" w:space="0" w:color="CCCCCC"/>
              <w:right w:val="single" w:sz="4" w:space="0" w:color="CCCCCC"/>
            </w:tcBorders>
          </w:tcPr>
          <w:p>
            <w:pPr>
              <w:jc w:val="left"/>
            </w:pPr>
            <w:r>
              <w:rPr>
                <w:rFonts w:ascii="Arial" w:hAnsi="Arial"/>
                <w:color w:val="333333"/>
                <w:sz w:val="18"/>
              </w:rPr>
              <w:t>≥ 60% exploit probability</w:t>
            </w:r>
          </w:p>
        </w:tc>
        <w:tc>
          <w:tcPr>
            <w:tcW w:type="dxa" w:w="3360"/>
            <w:tcBorders>
              <w:top w:val="single" w:sz="4" w:space="0" w:color="CCCCCC"/>
              <w:bottom w:val="single" w:sz="4" w:space="0" w:color="CCCCCC"/>
              <w:left w:val="single" w:sz="4" w:space="0" w:color="CCCCCC"/>
              <w:right w:val="single" w:sz="4" w:space="0" w:color="CCCCCC"/>
            </w:tcBorders>
          </w:tcPr>
          <w:p>
            <w:pPr>
              <w:jc w:val="left"/>
            </w:pPr>
            <w:r>
              <w:rPr>
                <w:rFonts w:ascii="Arial" w:hAnsi="Arial"/>
                <w:color w:val="333333"/>
                <w:sz w:val="18"/>
              </w:rPr>
              <w:t>30</w:t>
            </w:r>
          </w:p>
        </w:tc>
      </w:tr>
      <w:tr>
        <w:tc>
          <w:tcPr>
            <w:tcW w:type="dxa" w:w="3360"/>
            <w:tcBorders>
              <w:top w:val="single" w:sz="4" w:space="0" w:color="CCCCCC"/>
              <w:bottom w:val="single" w:sz="4" w:space="0" w:color="CCCCCC"/>
              <w:left w:val="single" w:sz="4" w:space="0" w:color="CCCCCC"/>
              <w:right w:val="single" w:sz="4" w:space="0" w:color="CCCCCC"/>
            </w:tcBorders>
          </w:tcPr>
          <w:p>
            <w:pPr>
              <w:jc w:val="left"/>
            </w:pPr>
            <w:r>
              <w:rPr>
                <w:rFonts w:ascii="Arial" w:hAnsi="Arial"/>
                <w:color w:val="333333"/>
                <w:sz w:val="18"/>
              </w:rPr>
            </w:r>
          </w:p>
        </w:tc>
        <w:tc>
          <w:tcPr>
            <w:tcW w:type="dxa" w:w="3360"/>
            <w:tcBorders>
              <w:top w:val="single" w:sz="4" w:space="0" w:color="CCCCCC"/>
              <w:bottom w:val="single" w:sz="4" w:space="0" w:color="CCCCCC"/>
              <w:left w:val="single" w:sz="4" w:space="0" w:color="CCCCCC"/>
              <w:right w:val="single" w:sz="4" w:space="0" w:color="CCCCCC"/>
            </w:tcBorders>
          </w:tcPr>
          <w:p>
            <w:pPr>
              <w:jc w:val="left"/>
            </w:pPr>
            <w:r>
              <w:rPr>
                <w:rFonts w:ascii="Arial" w:hAnsi="Arial"/>
                <w:color w:val="333333"/>
                <w:sz w:val="18"/>
              </w:rPr>
              <w:t>≥ 20%</w:t>
            </w:r>
          </w:p>
        </w:tc>
        <w:tc>
          <w:tcPr>
            <w:tcW w:type="dxa" w:w="3360"/>
            <w:tcBorders>
              <w:top w:val="single" w:sz="4" w:space="0" w:color="CCCCCC"/>
              <w:bottom w:val="single" w:sz="4" w:space="0" w:color="CCCCCC"/>
              <w:left w:val="single" w:sz="4" w:space="0" w:color="CCCCCC"/>
              <w:right w:val="single" w:sz="4" w:space="0" w:color="CCCCCC"/>
            </w:tcBorders>
          </w:tcPr>
          <w:p>
            <w:pPr>
              <w:jc w:val="left"/>
            </w:pPr>
            <w:r>
              <w:rPr>
                <w:rFonts w:ascii="Arial" w:hAnsi="Arial"/>
                <w:color w:val="333333"/>
                <w:sz w:val="18"/>
              </w:rPr>
              <w:t>20</w:t>
            </w:r>
          </w:p>
        </w:tc>
      </w:tr>
      <w:tr>
        <w:tc>
          <w:tcPr>
            <w:tcW w:type="dxa" w:w="3360"/>
            <w:tcBorders>
              <w:top w:val="single" w:sz="4" w:space="0" w:color="CCCCCC"/>
              <w:bottom w:val="single" w:sz="4" w:space="0" w:color="CCCCCC"/>
              <w:left w:val="single" w:sz="4" w:space="0" w:color="CCCCCC"/>
              <w:right w:val="single" w:sz="4" w:space="0" w:color="CCCCCC"/>
            </w:tcBorders>
          </w:tcPr>
          <w:p>
            <w:pPr>
              <w:jc w:val="left"/>
            </w:pPr>
            <w:r>
              <w:rPr>
                <w:rFonts w:ascii="Arial" w:hAnsi="Arial"/>
                <w:color w:val="333333"/>
                <w:sz w:val="18"/>
              </w:rPr>
            </w:r>
          </w:p>
        </w:tc>
        <w:tc>
          <w:tcPr>
            <w:tcW w:type="dxa" w:w="3360"/>
            <w:tcBorders>
              <w:top w:val="single" w:sz="4" w:space="0" w:color="CCCCCC"/>
              <w:bottom w:val="single" w:sz="4" w:space="0" w:color="CCCCCC"/>
              <w:left w:val="single" w:sz="4" w:space="0" w:color="CCCCCC"/>
              <w:right w:val="single" w:sz="4" w:space="0" w:color="CCCCCC"/>
            </w:tcBorders>
          </w:tcPr>
          <w:p>
            <w:pPr>
              <w:jc w:val="left"/>
            </w:pPr>
            <w:r>
              <w:rPr>
                <w:rFonts w:ascii="Arial" w:hAnsi="Arial"/>
                <w:color w:val="333333"/>
                <w:sz w:val="18"/>
              </w:rPr>
              <w:t>≥ 4%</w:t>
            </w:r>
          </w:p>
        </w:tc>
        <w:tc>
          <w:tcPr>
            <w:tcW w:type="dxa" w:w="3360"/>
            <w:tcBorders>
              <w:top w:val="single" w:sz="4" w:space="0" w:color="CCCCCC"/>
              <w:bottom w:val="single" w:sz="4" w:space="0" w:color="CCCCCC"/>
              <w:left w:val="single" w:sz="4" w:space="0" w:color="CCCCCC"/>
              <w:right w:val="single" w:sz="4" w:space="0" w:color="CCCCCC"/>
            </w:tcBorders>
          </w:tcPr>
          <w:p>
            <w:pPr>
              <w:jc w:val="left"/>
            </w:pPr>
            <w:r>
              <w:rPr>
                <w:rFonts w:ascii="Arial" w:hAnsi="Arial"/>
                <w:color w:val="333333"/>
                <w:sz w:val="18"/>
              </w:rPr>
              <w:t>10</w:t>
            </w:r>
          </w:p>
        </w:tc>
      </w:tr>
      <w:tr>
        <w:tc>
          <w:tcPr>
            <w:tcW w:type="dxa" w:w="3360"/>
            <w:tcBorders>
              <w:top w:val="single" w:sz="4" w:space="0" w:color="CCCCCC"/>
              <w:bottom w:val="single" w:sz="4" w:space="0" w:color="CCCCCC"/>
              <w:left w:val="single" w:sz="4" w:space="0" w:color="CCCCCC"/>
              <w:right w:val="single" w:sz="4" w:space="0" w:color="CCCCCC"/>
            </w:tcBorders>
          </w:tcPr>
          <w:p>
            <w:pPr>
              <w:jc w:val="left"/>
            </w:pPr>
            <w:r>
              <w:rPr>
                <w:rFonts w:ascii="Arial" w:hAnsi="Arial"/>
                <w:color w:val="333333"/>
                <w:sz w:val="18"/>
              </w:rPr>
            </w:r>
          </w:p>
        </w:tc>
        <w:tc>
          <w:tcPr>
            <w:tcW w:type="dxa" w:w="3360"/>
            <w:tcBorders>
              <w:top w:val="single" w:sz="4" w:space="0" w:color="CCCCCC"/>
              <w:bottom w:val="single" w:sz="4" w:space="0" w:color="CCCCCC"/>
              <w:left w:val="single" w:sz="4" w:space="0" w:color="CCCCCC"/>
              <w:right w:val="single" w:sz="4" w:space="0" w:color="CCCCCC"/>
            </w:tcBorders>
          </w:tcPr>
          <w:p>
            <w:pPr>
              <w:jc w:val="left"/>
            </w:pPr>
            <w:r>
              <w:rPr>
                <w:rFonts w:ascii="Arial" w:hAnsi="Arial"/>
                <w:color w:val="333333"/>
                <w:sz w:val="18"/>
              </w:rPr>
              <w:t>&lt; 4%</w:t>
            </w:r>
          </w:p>
        </w:tc>
        <w:tc>
          <w:tcPr>
            <w:tcW w:type="dxa" w:w="3360"/>
            <w:tcBorders>
              <w:top w:val="single" w:sz="4" w:space="0" w:color="CCCCCC"/>
              <w:bottom w:val="single" w:sz="4" w:space="0" w:color="CCCCCC"/>
              <w:left w:val="single" w:sz="4" w:space="0" w:color="CCCCCC"/>
              <w:right w:val="single" w:sz="4" w:space="0" w:color="CCCCCC"/>
            </w:tcBorders>
          </w:tcPr>
          <w:p>
            <w:pPr>
              <w:jc w:val="left"/>
            </w:pPr>
            <w:r>
              <w:rPr>
                <w:rFonts w:ascii="Arial" w:hAnsi="Arial"/>
                <w:color w:val="333333"/>
                <w:sz w:val="18"/>
              </w:rPr>
              <w:t>3</w:t>
            </w:r>
          </w:p>
        </w:tc>
      </w:tr>
      <w:tr>
        <w:tc>
          <w:tcPr>
            <w:tcW w:type="dxa" w:w="3360"/>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333333"/>
                <w:sz w:val="18"/>
              </w:rPr>
              <w:t>CISA KEV (0–20)</w:t>
            </w:r>
          </w:p>
        </w:tc>
        <w:tc>
          <w:tcPr>
            <w:tcW w:type="dxa" w:w="3360"/>
            <w:tcBorders>
              <w:top w:val="single" w:sz="4" w:space="0" w:color="CCCCCC"/>
              <w:bottom w:val="single" w:sz="4" w:space="0" w:color="CCCCCC"/>
              <w:left w:val="single" w:sz="4" w:space="0" w:color="CCCCCC"/>
              <w:right w:val="single" w:sz="4" w:space="0" w:color="CCCCCC"/>
            </w:tcBorders>
          </w:tcPr>
          <w:p>
            <w:pPr>
              <w:jc w:val="left"/>
            </w:pPr>
            <w:r>
              <w:rPr>
                <w:rFonts w:ascii="Arial" w:hAnsi="Arial"/>
                <w:color w:val="333333"/>
                <w:sz w:val="18"/>
              </w:rPr>
              <w:t>Listed in KEV catalog</w:t>
            </w:r>
          </w:p>
        </w:tc>
        <w:tc>
          <w:tcPr>
            <w:tcW w:type="dxa" w:w="3360"/>
            <w:tcBorders>
              <w:top w:val="single" w:sz="4" w:space="0" w:color="CCCCCC"/>
              <w:bottom w:val="single" w:sz="4" w:space="0" w:color="CCCCCC"/>
              <w:left w:val="single" w:sz="4" w:space="0" w:color="CCCCCC"/>
              <w:right w:val="single" w:sz="4" w:space="0" w:color="CCCCCC"/>
            </w:tcBorders>
          </w:tcPr>
          <w:p>
            <w:pPr>
              <w:jc w:val="left"/>
            </w:pPr>
            <w:r>
              <w:rPr>
                <w:rFonts w:ascii="Arial" w:hAnsi="Arial"/>
                <w:color w:val="333333"/>
                <w:sz w:val="18"/>
              </w:rPr>
              <w:t>20</w:t>
            </w:r>
          </w:p>
        </w:tc>
      </w:tr>
      <w:tr>
        <w:tc>
          <w:tcPr>
            <w:tcW w:type="dxa" w:w="3360"/>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333333"/>
                <w:sz w:val="18"/>
              </w:rPr>
              <w:t>Threat Actor (0–15)</w:t>
            </w:r>
          </w:p>
        </w:tc>
        <w:tc>
          <w:tcPr>
            <w:tcW w:type="dxa" w:w="3360"/>
            <w:tcBorders>
              <w:top w:val="single" w:sz="4" w:space="0" w:color="CCCCCC"/>
              <w:bottom w:val="single" w:sz="4" w:space="0" w:color="CCCCCC"/>
              <w:left w:val="single" w:sz="4" w:space="0" w:color="CCCCCC"/>
              <w:right w:val="single" w:sz="4" w:space="0" w:color="CCCCCC"/>
            </w:tcBorders>
          </w:tcPr>
          <w:p>
            <w:pPr>
              <w:jc w:val="left"/>
            </w:pPr>
            <w:r>
              <w:rPr>
                <w:rFonts w:ascii="Arial" w:hAnsi="Arial"/>
                <w:color w:val="333333"/>
                <w:sz w:val="18"/>
              </w:rPr>
              <w:t>CrowdStrike tracked group</w:t>
            </w:r>
          </w:p>
        </w:tc>
        <w:tc>
          <w:tcPr>
            <w:tcW w:type="dxa" w:w="3360"/>
            <w:tcBorders>
              <w:top w:val="single" w:sz="4" w:space="0" w:color="CCCCCC"/>
              <w:bottom w:val="single" w:sz="4" w:space="0" w:color="CCCCCC"/>
              <w:left w:val="single" w:sz="4" w:space="0" w:color="CCCCCC"/>
              <w:right w:val="single" w:sz="4" w:space="0" w:color="CCCCCC"/>
            </w:tcBorders>
          </w:tcPr>
          <w:p>
            <w:pPr>
              <w:jc w:val="left"/>
            </w:pPr>
            <w:r>
              <w:rPr>
                <w:rFonts w:ascii="Arial" w:hAnsi="Arial"/>
                <w:color w:val="333333"/>
                <w:sz w:val="18"/>
              </w:rPr>
              <w:t>15</w:t>
            </w:r>
          </w:p>
        </w:tc>
      </w:tr>
      <w:tr>
        <w:tc>
          <w:tcPr>
            <w:tcW w:type="dxa" w:w="3360"/>
            <w:tcBorders>
              <w:top w:val="single" w:sz="4" w:space="0" w:color="CCCCCC"/>
              <w:bottom w:val="single" w:sz="4" w:space="0" w:color="CCCCCC"/>
              <w:left w:val="single" w:sz="4" w:space="0" w:color="CCCCCC"/>
              <w:right w:val="single" w:sz="4" w:space="0" w:color="CCCCCC"/>
            </w:tcBorders>
          </w:tcPr>
          <w:p>
            <w:pPr>
              <w:jc w:val="left"/>
            </w:pPr>
            <w:r>
              <w:rPr>
                <w:rFonts w:ascii="Arial" w:hAnsi="Arial"/>
                <w:color w:val="333333"/>
                <w:sz w:val="18"/>
              </w:rPr>
            </w:r>
          </w:p>
        </w:tc>
        <w:tc>
          <w:tcPr>
            <w:tcW w:type="dxa" w:w="3360"/>
            <w:tcBorders>
              <w:top w:val="single" w:sz="4" w:space="0" w:color="CCCCCC"/>
              <w:bottom w:val="single" w:sz="4" w:space="0" w:color="CCCCCC"/>
              <w:left w:val="single" w:sz="4" w:space="0" w:color="CCCCCC"/>
              <w:right w:val="single" w:sz="4" w:space="0" w:color="CCCCCC"/>
            </w:tcBorders>
          </w:tcPr>
          <w:p>
            <w:pPr>
              <w:jc w:val="left"/>
            </w:pPr>
            <w:r>
              <w:rPr>
                <w:rFonts w:ascii="Arial" w:hAnsi="Arial"/>
                <w:color w:val="333333"/>
                <w:sz w:val="18"/>
              </w:rPr>
              <w:t>Intel471 underground mention</w:t>
            </w:r>
          </w:p>
        </w:tc>
        <w:tc>
          <w:tcPr>
            <w:tcW w:type="dxa" w:w="3360"/>
            <w:tcBorders>
              <w:top w:val="single" w:sz="4" w:space="0" w:color="CCCCCC"/>
              <w:bottom w:val="single" w:sz="4" w:space="0" w:color="CCCCCC"/>
              <w:left w:val="single" w:sz="4" w:space="0" w:color="CCCCCC"/>
              <w:right w:val="single" w:sz="4" w:space="0" w:color="CCCCCC"/>
            </w:tcBorders>
          </w:tcPr>
          <w:p>
            <w:pPr>
              <w:jc w:val="left"/>
            </w:pPr>
            <w:r>
              <w:rPr>
                <w:rFonts w:ascii="Arial" w:hAnsi="Arial"/>
                <w:color w:val="333333"/>
                <w:sz w:val="18"/>
              </w:rPr>
              <w:t>10</w:t>
            </w:r>
          </w:p>
        </w:tc>
      </w:tr>
      <w:tr>
        <w:tc>
          <w:tcPr>
            <w:tcW w:type="dxa" w:w="3360"/>
            <w:tcBorders>
              <w:top w:val="single" w:sz="4" w:space="0" w:color="CCCCCC"/>
              <w:bottom w:val="single" w:sz="4" w:space="0" w:color="CCCCCC"/>
              <w:left w:val="single" w:sz="4" w:space="0" w:color="CCCCCC"/>
              <w:right w:val="single" w:sz="4" w:space="0" w:color="CCCCCC"/>
            </w:tcBorders>
          </w:tcPr>
          <w:p>
            <w:pPr>
              <w:jc w:val="left"/>
            </w:pPr>
            <w:r>
              <w:rPr>
                <w:rFonts w:ascii="Arial" w:hAnsi="Arial"/>
                <w:b/>
                <w:color w:val="333333"/>
                <w:sz w:val="18"/>
              </w:rPr>
              <w:t>Exposure (0–5)</w:t>
            </w:r>
          </w:p>
        </w:tc>
        <w:tc>
          <w:tcPr>
            <w:tcW w:type="dxa" w:w="3360"/>
            <w:tcBorders>
              <w:top w:val="single" w:sz="4" w:space="0" w:color="CCCCCC"/>
              <w:bottom w:val="single" w:sz="4" w:space="0" w:color="CCCCCC"/>
              <w:left w:val="single" w:sz="4" w:space="0" w:color="CCCCCC"/>
              <w:right w:val="single" w:sz="4" w:space="0" w:color="CCCCCC"/>
            </w:tcBorders>
          </w:tcPr>
          <w:p>
            <w:pPr>
              <w:jc w:val="left"/>
            </w:pPr>
            <w:r>
              <w:rPr>
                <w:rFonts w:ascii="Arial" w:hAnsi="Arial"/>
                <w:color w:val="333333"/>
                <w:sz w:val="18"/>
              </w:rPr>
              <w:t>5+ systems</w:t>
            </w:r>
          </w:p>
        </w:tc>
        <w:tc>
          <w:tcPr>
            <w:tcW w:type="dxa" w:w="3360"/>
            <w:tcBorders>
              <w:top w:val="single" w:sz="4" w:space="0" w:color="CCCCCC"/>
              <w:bottom w:val="single" w:sz="4" w:space="0" w:color="CCCCCC"/>
              <w:left w:val="single" w:sz="4" w:space="0" w:color="CCCCCC"/>
              <w:right w:val="single" w:sz="4" w:space="0" w:color="CCCCCC"/>
            </w:tcBorders>
          </w:tcPr>
          <w:p>
            <w:pPr>
              <w:jc w:val="left"/>
            </w:pPr>
            <w:r>
              <w:rPr>
                <w:rFonts w:ascii="Arial" w:hAnsi="Arial"/>
                <w:color w:val="333333"/>
                <w:sz w:val="18"/>
              </w:rPr>
              <w:t>5</w:t>
            </w:r>
          </w:p>
        </w:tc>
      </w:tr>
      <w:tr>
        <w:tc>
          <w:tcPr>
            <w:tcW w:type="dxa" w:w="3360"/>
            <w:tcBorders>
              <w:top w:val="single" w:sz="4" w:space="0" w:color="CCCCCC"/>
              <w:bottom w:val="single" w:sz="4" w:space="0" w:color="CCCCCC"/>
              <w:left w:val="single" w:sz="4" w:space="0" w:color="CCCCCC"/>
              <w:right w:val="single" w:sz="4" w:space="0" w:color="CCCCCC"/>
            </w:tcBorders>
          </w:tcPr>
          <w:p>
            <w:pPr>
              <w:jc w:val="left"/>
            </w:pPr>
            <w:r>
              <w:rPr>
                <w:rFonts w:ascii="Arial" w:hAnsi="Arial"/>
                <w:color w:val="333333"/>
                <w:sz w:val="18"/>
              </w:rPr>
            </w:r>
          </w:p>
        </w:tc>
        <w:tc>
          <w:tcPr>
            <w:tcW w:type="dxa" w:w="3360"/>
            <w:tcBorders>
              <w:top w:val="single" w:sz="4" w:space="0" w:color="CCCCCC"/>
              <w:bottom w:val="single" w:sz="4" w:space="0" w:color="CCCCCC"/>
              <w:left w:val="single" w:sz="4" w:space="0" w:color="CCCCCC"/>
              <w:right w:val="single" w:sz="4" w:space="0" w:color="CCCCCC"/>
            </w:tcBorders>
          </w:tcPr>
          <w:p>
            <w:pPr>
              <w:jc w:val="left"/>
            </w:pPr>
            <w:r>
              <w:rPr>
                <w:rFonts w:ascii="Arial" w:hAnsi="Arial"/>
                <w:color w:val="333333"/>
                <w:sz w:val="18"/>
              </w:rPr>
              <w:t>1–4 systems</w:t>
            </w:r>
          </w:p>
        </w:tc>
        <w:tc>
          <w:tcPr>
            <w:tcW w:type="dxa" w:w="3360"/>
            <w:tcBorders>
              <w:top w:val="single" w:sz="4" w:space="0" w:color="CCCCCC"/>
              <w:bottom w:val="single" w:sz="4" w:space="0" w:color="CCCCCC"/>
              <w:left w:val="single" w:sz="4" w:space="0" w:color="CCCCCC"/>
              <w:right w:val="single" w:sz="4" w:space="0" w:color="CCCCCC"/>
            </w:tcBorders>
          </w:tcPr>
          <w:p>
            <w:pPr>
              <w:jc w:val="left"/>
            </w:pPr>
            <w:r>
              <w:rPr>
                <w:rFonts w:ascii="Arial" w:hAnsi="Arial"/>
                <w:color w:val="333333"/>
                <w:sz w:val="18"/>
              </w:rPr>
              <w:t>2</w:t>
            </w:r>
          </w:p>
        </w:tc>
      </w:tr>
    </w:tbl>
    <w:p/>
    <w:p>
      <w:r>
        <w:rPr>
          <w:rFonts w:ascii="Arial" w:hAnsi="Arial"/>
          <w:i/>
          <w:color w:val="666666"/>
          <w:sz w:val="18"/>
        </w:rPr>
        <w:t>P1 (≥ 60 pts): Address within 24–48 hours  •  P2 (30–59 pts): Patch within 7–14 days  •  P3 (&lt; 30 pts): Schedule within 30 days</w:t>
      </w:r>
    </w:p>
    <w:p/>
    <w:p>
      <w:pPr>
        <w:jc w:val="center"/>
      </w:pPr>
      <w:r>
        <w:rPr>
          <w:b/>
          <w:sz w:val="20"/>
        </w:rPr>
        <w:t>Questions or suspicious activity: secops@company.com | ServiceNow | cti@company.com</w:t>
      </w:r>
    </w:p>
    <w:p/>
    <w:sectPr w:rsidR="00FC693F" w:rsidRPr="0006063C" w:rsidSect="00034616">
      <w:background w:color="FFFFFF"/>
      <w:pgPr>
        <w:vAlign w:val="top"/>
      </w:pgPr>
      <w:headerReference w:type="default" r:id="rId9"/>
      <w:pgSz w:w="12240" w:h="15840"/>
      <w:pgMar w:top="1800" w:right="1080" w:bottom="1267" w:left="108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6400800" cy="687772"/>
          <wp:docPr id="1" name="Picture 1"/>
          <wp:cNvGraphicFramePr>
            <a:graphicFrameLocks noChangeAspect="1"/>
          </wp:cNvGraphicFramePr>
          <a:graphic>
            <a:graphicData uri="http://schemas.openxmlformats.org/drawingml/2006/picture">
              <pic:pic>
                <pic:nvPicPr>
                  <pic:cNvPr id="0" name="Bulletin_banner.jpg"/>
                  <pic:cNvPicPr/>
                </pic:nvPicPr>
                <pic:blipFill>
                  <a:blip r:embed="rId1"/>
                  <a:stretch>
                    <a:fillRect/>
                  </a:stretch>
                </pic:blipFill>
                <pic:spPr>
                  <a:xfrm>
                    <a:off x="0" y="0"/>
                    <a:ext cx="6400800" cy="687772"/>
                  </a:xfrm>
                  <a:prstGeom prst="rect"/>
                </pic:spPr>
              </pic:pic>
            </a:graphicData>
          </a:graphic>
        </wp:inline>
      </w:drawing>
    </w:r>
  </w:p>
  <w:p>
    <w:pPr>
      <w:spacing w:before="40" w:after="0"/>
      <w:jc w:val="right"/>
    </w:pPr>
    <w:r>
      <w:rPr>
        <w:rFonts w:ascii="Consolas" w:hAnsi="Consolas"/>
        <w:color w:val="B0B0B0"/>
        <w:sz w:val="16"/>
      </w:rPr>
      <w:t>CTI-WK-2026-17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isplayBackgroundShap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40" w:lineRule="auto"/>
    </w:pPr>
    <w:rPr>
      <w:rFonts w:ascii="Arial" w:hAnsi="Arial"/>
      <w:color w:val="33333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60" w:line="240"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60" w:line="240"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0" w:after="60" w:line="240" w:lineRule="auto"/>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