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216" w:lineRule="auto"/>
        <w:jc w:val="left"/>
      </w:pPr>
      <w:r>
        <w:rPr>
          <w:rFonts w:ascii="Arial" w:hAnsi="Arial"/>
          <w:b/>
          <w:color w:val="FF5C41"/>
          <w:sz w:val="36"/>
        </w:rPr>
        <w:t>Cyber Threat Intelligence Weekly Report</w:t>
      </w:r>
    </w:p>
    <w:p>
      <w:pPr>
        <w:spacing w:before="40" w:after="120"/>
        <w:jc w:val="left"/>
      </w:pPr>
      <w:r>
        <w:rPr>
          <w:rFonts w:ascii="Arial" w:hAnsi="Arial"/>
          <w:color w:val="B0B0B0"/>
          <w:sz w:val="20"/>
        </w:rPr>
        <w:t>7-Day Lookback | April 30 to May 07, 2026</w:t>
      </w:r>
    </w:p>
    <w:p/>
    <w:p>
      <w:pPr>
        <w:pStyle w:val="Heading1"/>
        <w:spacing w:before="0" w:after="0"/>
      </w:pPr>
      <w:r>
        <w:rPr>
          <w:rFonts w:ascii="Arial" w:hAnsi="Arial"/>
          <w:b/>
          <w:color w:val="FF5C41"/>
          <w:sz w:val="28"/>
        </w:rPr>
        <w:t>Executive Summary</w:t>
      </w:r>
    </w:p>
    <w:p>
      <w:pPr>
        <w:spacing w:before="0" w:after="0"/>
        <w:jc w:val="center"/>
      </w:pPr>
      <w:r>
        <w:rPr>
          <w:color w:val="666666"/>
          <w:sz w:val="21"/>
        </w:rPr>
        <w:t>•</w:t>
      </w:r>
    </w:p>
    <w:p>
      <w:pPr>
        <w:spacing w:before="0" w:after="80" w:line="360" w:lineRule="auto"/>
      </w:pPr>
      <w:r>
        <w:rPr>
          <w:rFonts w:ascii="Arial" w:hAnsi="Arial"/>
          <w:color w:val="333333"/>
          <w:sz w:val="21"/>
        </w:rPr>
        <w:t xml:space="preserve">This week's threat intelligence analysis highlights a significant exposure to vulnerabilities in WordPress plugins and related components, which are commonly used in web applications across genomics, biotech, and manufacturing environments. Several detected CVEs allow for unauthorized access, sensitive information disclosure, SQL injection, and cross-site scripting, posing a direct risk to research data, intellectual property, and potentially to patient or customer data if these systems are internet-facing or integrated with laboratory or healthcare platforms. Of particular concern are vulnerabilities that enable privilege escalation or unauthorized data access, which could facilitate lateral movement or data exfiltration by threat actors. </w:t>
        <w:br/>
        <w:br/>
        <w:t>The threat landscape is further complicated by ongoing ransomware campaigns targeting healthcare and manufacturing sectors, as reported by Intel471 and CrowdStrike. State-sponsored and criminal groups continue to focus on these industries, seeking to exploit both known vulnerabilities and weak access controls. The presence of vulnerabilities with active exploitation in the wild, such as those highlighted in recent OSINT and CISA advisories, underscores the urgent need for patching, enhanced monitoring, and supply chain vigilance. Failure to address these exposures could result in operational disruption, regulatory noncompliance, and significant reputational damage.</w:t>
      </w:r>
    </w:p>
    <w:p>
      <w:pPr>
        <w:pStyle w:val="Heading1"/>
        <w:spacing w:before="120" w:after="0"/>
      </w:pPr>
      <w:r>
        <w:rPr>
          <w:rFonts w:ascii="Arial" w:hAnsi="Arial"/>
          <w:b/>
          <w:color w:val="FF5C41"/>
          <w:sz w:val="28"/>
        </w:rPr>
        <w:t xml:space="preserve">This Week </w:t>
      </w:r>
      <w:r>
        <w:rPr>
          <w:rFonts w:ascii="Arial" w:hAnsi="Arial"/>
          <w:b/>
          <w:color w:val="FF5C41"/>
          <w:sz w:val="28"/>
          <w:u w:val="none"/>
        </w:rPr>
        <w:t>at a Glance</w:t>
      </w:r>
    </w:p>
    <w:p>
      <w:pPr>
        <w:spacing w:before="200" w:after="80"/>
      </w:pPr>
      <w:r>
        <w:rPr>
          <w:rFonts w:ascii="Arial" w:hAnsi="Arial"/>
          <w:i/>
          <w:color w:val="B0B0B0"/>
          <w:sz w:val="18"/>
        </w:rPr>
        <w:t>Vulnerability and threat actor metrics from automated collection (April 30 to May 07, 2026).</w:t>
      </w: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2</w:t>
            </w:r>
          </w:p>
          <w:p>
            <w:pPr>
              <w:spacing w:before="0" w:after="40"/>
              <w:jc w:val="center"/>
            </w:pPr>
            <w:r>
              <w:rPr>
                <w:b/>
                <w:color w:val="000000"/>
                <w:sz w:val="20"/>
              </w:rPr>
              <w:t>New This Week</w:t>
            </w:r>
          </w:p>
          <w:p>
            <w:pPr>
              <w:spacing w:before="0" w:after="160"/>
              <w:jc w:val="center"/>
            </w:pPr>
            <w:r>
              <w:rPr>
                <w:rFonts w:ascii="Arial" w:hAnsi="Arial"/>
                <w:color w:val="666666"/>
                <w:sz w:val="16"/>
              </w:rPr>
              <w:t>First appearance in Rapid7 scans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5C41"/>
                <w:sz w:val="44"/>
              </w:rPr>
              <w:t>21</w:t>
            </w:r>
          </w:p>
          <w:p>
            <w:pPr>
              <w:spacing w:before="0" w:after="40"/>
              <w:jc w:val="center"/>
            </w:pPr>
            <w:r>
              <w:rPr>
                <w:b/>
                <w:color w:val="000000"/>
                <w:sz w:val="20"/>
              </w:rPr>
              <w:t>Persistent (3+ Wks)</w:t>
            </w:r>
          </w:p>
          <w:p>
            <w:pPr>
              <w:spacing w:before="0" w:after="160"/>
              <w:jc w:val="center"/>
            </w:pPr>
            <w:r>
              <w:rPr>
                <w:rFonts w:ascii="Arial" w:hAnsi="Arial"/>
                <w:color w:val="666666"/>
                <w:sz w:val="16"/>
              </w:rPr>
              <w:t>Unresolved from prior reports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2ECC71"/>
                <w:sz w:val="44"/>
              </w:rPr>
              <w:t>0</w:t>
            </w:r>
          </w:p>
          <w:p>
            <w:pPr>
              <w:spacing w:before="0" w:after="40"/>
              <w:jc w:val="center"/>
            </w:pPr>
            <w:r>
              <w:rPr>
                <w:b/>
                <w:color w:val="000000"/>
                <w:sz w:val="20"/>
              </w:rPr>
              <w:t>Resolved</w:t>
            </w:r>
          </w:p>
          <w:p>
            <w:pPr>
              <w:spacing w:before="0" w:after="160"/>
              <w:jc w:val="center"/>
            </w:pPr>
            <w:r>
              <w:rPr>
                <w:rFonts w:ascii="Arial" w:hAnsi="Arial"/>
                <w:color w:val="666666"/>
                <w:sz w:val="16"/>
              </w:rPr>
              <w:t>Remediated since last week</w:t>
            </w:r>
          </w:p>
        </w:tc>
      </w:tr>
    </w:tbl>
    <w:p>
      <w:pPr>
        <w:spacing w:before="0" w:after="400"/>
      </w:pPr>
    </w:p>
    <w:tbl>
      <w:tblPr>
        <w:tblW w:type="auto" w:w="0"/>
        <w:jc w:val="center"/>
        <w:tblLook w:firstColumn="1" w:firstRow="1" w:lastColumn="0" w:lastRow="0" w:noHBand="0" w:noVBand="1" w:val="04A0"/>
      </w:tblPr>
      <w:tblGrid>
        <w:gridCol w:w="3360"/>
        <w:gridCol w:w="3360"/>
        <w:gridCol w:w="3360"/>
      </w:tblGrid>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23</w:t>
            </w:r>
          </w:p>
          <w:p>
            <w:pPr>
              <w:spacing w:before="0" w:after="40"/>
              <w:jc w:val="center"/>
            </w:pPr>
            <w:r>
              <w:rPr>
                <w:b/>
                <w:color w:val="000000"/>
                <w:sz w:val="20"/>
              </w:rPr>
              <w:t>Total Exposed</w:t>
            </w:r>
          </w:p>
          <w:p>
            <w:pPr>
              <w:spacing w:before="0" w:after="160"/>
              <w:jc w:val="center"/>
            </w:pPr>
            <w:r>
              <w:rPr>
                <w:rFonts w:ascii="Arial" w:hAnsi="Arial"/>
                <w:color w:val="666666"/>
                <w:sz w:val="16"/>
              </w:rPr>
              <w:t>CVEs on assets</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0</w:t>
            </w:r>
          </w:p>
          <w:p>
            <w:pPr>
              <w:spacing w:before="0" w:after="40"/>
              <w:jc w:val="center"/>
            </w:pPr>
            <w:r>
              <w:rPr>
                <w:b/>
                <w:color w:val="000000"/>
                <w:sz w:val="20"/>
              </w:rPr>
              <w:t>Actively Exploited</w:t>
            </w:r>
          </w:p>
          <w:p>
            <w:pPr>
              <w:spacing w:before="0" w:after="160"/>
              <w:jc w:val="center"/>
            </w:pPr>
            <w:r>
              <w:rPr>
                <w:rFonts w:ascii="Arial" w:hAnsi="Arial"/>
                <w:color w:val="666666"/>
                <w:sz w:val="16"/>
              </w:rPr>
              <w:t>Confirmed threat actor use</w:t>
            </w:r>
          </w:p>
        </w:tc>
        <w:tc>
          <w:tcPr>
            <w:tcW w:type="dxa" w:w="3360"/>
            <w:shd w:fill="F5F5F5" w:val="clear" w:color="auto"/>
            <w:tcBorders>
              <w:top w:val="single" w:sz="4" w:space="0" w:color="CCCCCC"/>
              <w:bottom w:val="single" w:sz="4" w:space="0" w:color="CCCCCC"/>
              <w:left w:val="single" w:sz="4" w:space="0" w:color="CCCCCC"/>
              <w:right w:val="single" w:sz="4" w:space="0" w:color="CCCCCC"/>
            </w:tcBorders>
          </w:tcPr>
          <w:p>
            <w:pPr>
              <w:spacing w:after="40"/>
              <w:jc w:val="center"/>
            </w:pPr>
            <w:r>
              <w:rPr>
                <w:rFonts w:ascii="Arial" w:hAnsi="Arial"/>
                <w:b/>
                <w:color w:val="FF3B3B"/>
                <w:sz w:val="44"/>
              </w:rPr>
              <w:t>5</w:t>
            </w:r>
          </w:p>
          <w:p>
            <w:pPr>
              <w:spacing w:before="0" w:after="40"/>
              <w:jc w:val="center"/>
            </w:pPr>
            <w:r>
              <w:rPr>
                <w:b/>
                <w:color w:val="000000"/>
                <w:sz w:val="20"/>
              </w:rPr>
              <w:t>Actor Groups</w:t>
            </w:r>
          </w:p>
          <w:p>
            <w:pPr>
              <w:spacing w:before="0" w:after="160"/>
              <w:jc w:val="center"/>
            </w:pPr>
            <w:r>
              <w:rPr>
                <w:rFonts w:ascii="Arial" w:hAnsi="Arial"/>
                <w:color w:val="666666"/>
                <w:sz w:val="16"/>
              </w:rPr>
              <w:t>Targeting biotech sector</w:t>
            </w:r>
          </w:p>
        </w:tc>
      </w:tr>
    </w:tbl>
    <w:p>
      <w:pPr>
        <w:spacing w:before="0" w:after="120"/>
      </w:pPr>
    </w:p>
    <w:p>
      <w:pPr>
        <w:pStyle w:val="Heading1"/>
      </w:pPr>
      <w:r>
        <w:rPr>
          <w:rFonts w:ascii="Arial" w:hAnsi="Arial"/>
          <w:color w:val="FF5C41"/>
          <w:sz w:val="28"/>
        </w:rPr>
        <w:t>Vulnerability Exposure</w:t>
      </w:r>
    </w:p>
    <w:p>
      <w:r>
        <w:rPr>
          <w:i/>
          <w:color w:val="333333"/>
          <w:sz w:val="16"/>
        </w:rPr>
        <w:t>Bright red background indicates active exploitation (CISA KEV, ransomware, or threat actors)</w:t>
      </w:r>
    </w:p>
    <w:tbl>
      <w:tblPr>
        <w:tblW w:type="auto" w:w="0"/>
        <w:tblLook w:firstColumn="1" w:firstRow="1" w:lastColumn="0" w:lastRow="0" w:noHBand="0" w:noVBand="1" w:val="04A0"/>
      </w:tblPr>
      <w:tblGrid>
        <w:gridCol w:w="2520"/>
        <w:gridCol w:w="2520"/>
        <w:gridCol w:w="2520"/>
        <w:gridCol w:w="2520"/>
      </w:tblGrid>
      <w:tr>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Item</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Affected Product/Technology</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Exposure</w:t>
            </w:r>
          </w:p>
        </w:tc>
        <w:tc>
          <w:tcPr>
            <w:tcW w:type="dxa" w:w="2520"/>
            <w:shd w:fill="E65100" w:val="clear" w:color="auto"/>
            <w:tcBorders>
              <w:top w:val="single" w:sz="4" w:space="0" w:color="CCCCCC"/>
              <w:bottom w:val="single" w:sz="4" w:space="0" w:color="CCCCCC"/>
              <w:left w:val="single" w:sz="4" w:space="0" w:color="CCCCCC"/>
              <w:right w:val="single" w:sz="4" w:space="0" w:color="CCCCCC"/>
            </w:tcBorders>
            <w:tcMar>
              <w:top w:w="40" w:type="dxa"/>
              <w:start w:w="40" w:type="dxa"/>
              <w:bottom w:w="40" w:type="dxa"/>
              <w:end w:w="40" w:type="dxa"/>
            </w:tcMar>
          </w:tcPr>
          <w:p>
            <w:pPr>
              <w:jc w:val="center"/>
            </w:pPr>
            <w:r>
              <w:rPr>
                <w:b/>
                <w:color w:val="FFFFFF"/>
                <w:sz w:val="16"/>
              </w:rPr>
              <w:t>Wks</w:t>
            </w:r>
          </w:p>
        </w:tc>
      </w:tr>
      <w:tr>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r>
            <w:r>
              <w:rPr>
                <w:color w:val="333333"/>
                <w:sz w:val="18"/>
              </w:rPr>
              <w:t>CVE-2020-36510</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WordPress Theme: 15zine</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1 system</w:t>
            </w:r>
          </w:p>
        </w:tc>
        <w:tc>
          <w:tcPr>
            <w:tcW w:type="dxa" w:w="252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21</w:t>
            </w:r>
          </w:p>
        </w:tc>
      </w:tr>
      <w:tr>
        <w:tc>
          <w:tcPr>
            <w:tcW w:type="dxa" w:w="2520"/>
            <w:tcBorders>
              <w:top w:val="single" w:sz="4" w:space="0" w:color="CCCCCC"/>
              <w:bottom w:val="single" w:sz="4" w:space="0" w:color="CCCCCC"/>
              <w:left w:val="single" w:sz="4" w:space="0" w:color="CCCCCC"/>
              <w:right w:val="single" w:sz="4" w:space="0" w:color="CCCCCC"/>
            </w:tcBorders>
          </w:tcPr>
          <w:p>
            <w:r>
              <w:rPr>
                <w:b/>
                <w:color w:val="333333"/>
                <w:sz w:val="18"/>
              </w:rPr>
              <w:t>WordPress Plugins</w:t>
              <w:br/>
              <w:t>(22 CVEs)</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Multiple products (22 vulnerabilities)</w:t>
            </w:r>
          </w:p>
        </w:tc>
        <w:tc>
          <w:tcPr>
            <w:tcW w:type="dxa" w:w="2520"/>
            <w:tcBorders>
              <w:top w:val="single" w:sz="4" w:space="0" w:color="CCCCCC"/>
              <w:bottom w:val="single" w:sz="4" w:space="0" w:color="CCCCCC"/>
              <w:left w:val="single" w:sz="4" w:space="0" w:color="CCCCCC"/>
              <w:right w:val="single" w:sz="4" w:space="0" w:color="CCCCCC"/>
            </w:tcBorders>
          </w:tcPr>
          <w:p>
            <w:r>
              <w:rPr>
                <w:color w:val="333333"/>
                <w:sz w:val="18"/>
              </w:rPr>
              <w:t>22 systems</w:t>
            </w:r>
          </w:p>
        </w:tc>
        <w:tc>
          <w:tcPr>
            <w:tcW w:type="dxa" w:w="2520"/>
            <w:shd w:fill="FFEBEE" w:val="clear" w:color="auto"/>
            <w:tcBorders>
              <w:top w:val="single" w:sz="4" w:space="0" w:color="CCCCCC"/>
              <w:bottom w:val="single" w:sz="4" w:space="0" w:color="CCCCCC"/>
              <w:left w:val="single" w:sz="4" w:space="0" w:color="CCCCCC"/>
              <w:right w:val="single" w:sz="4" w:space="0" w:color="CCCCCC"/>
            </w:tcBorders>
          </w:tcPr>
          <w:p>
            <w:pPr>
              <w:jc w:val="center"/>
            </w:pPr>
            <w:r>
              <w:rPr>
                <w:color w:val="333333"/>
                <w:sz w:val="18"/>
              </w:rPr>
              <w:t>51</w:t>
            </w:r>
          </w:p>
        </w:tc>
      </w:tr>
    </w:tbl>
    <w:p>
      <w:pPr>
        <w:jc w:val="left"/>
      </w:pPr>
      <w:r>
        <w:rPr>
          <w:rFonts w:ascii="Arial" w:hAnsi="Arial"/>
          <w:i/>
          <w:color w:val="666666"/>
          <w:sz w:val="14"/>
        </w:rPr>
        <w:t>Wks = consecutive weeks detected. Items at 3+ weeks (yellow) require escalation, 4+ weeks (red) are overdue. Bright red background indicates active exploitation (CISA KEV, ransomware, or threat actors). Table shows 1 individual CVEs (top by exposure/severity) and 1 technology groups covering 22 CVEs. Total: 23 CVEs detected. Source: Rapid7 InsightVM, CISA KEV, Intel471, CrowdStrike.</w:t>
      </w:r>
    </w:p>
    <w:p/>
    <w:p>
      <w:pPr>
        <w:pStyle w:val="Heading1"/>
      </w:pPr>
      <w:r>
        <w:rPr>
          <w:rFonts w:ascii="Arial" w:hAnsi="Arial"/>
          <w:color w:val="FF5C41"/>
          <w:sz w:val="28"/>
        </w:rPr>
        <w:t>Sector Threat Activity</w:t>
      </w:r>
    </w:p>
    <w:p>
      <w:r>
        <w:rPr>
          <w:i/>
          <w:color w:val="666666"/>
          <w:sz w:val="20"/>
        </w:rPr>
        <w:t>The following threat actors have been observed targeting organizations in the biotech, pharmaceutical, healthcare, manufacturing, and related sectors this week.</w:t>
      </w:r>
    </w:p>
    <w:p/>
    <w:tbl>
      <w:tblPr>
        <w:tblW w:type="auto" w:w="0"/>
        <w:tblLook w:firstColumn="1" w:firstRow="1" w:lastColumn="0" w:lastRow="0" w:noHBand="0" w:noVBand="1" w:val="04A0"/>
      </w:tblPr>
      <w:tblGrid>
        <w:gridCol w:w="3360"/>
        <w:gridCol w:w="3360"/>
        <w:gridCol w:w="3360"/>
      </w:tblGrid>
      <w:tr>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Origin / Motivation</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Activity Observed</w:t>
            </w:r>
          </w:p>
        </w:tc>
        <w:tc>
          <w:tcPr>
            <w:tcW w:type="dxa" w:w="3360"/>
            <w:shd w:fill="E65100" w:val="clear" w:color="auto"/>
            <w:tcBorders>
              <w:top w:val="single" w:sz="4" w:space="0" w:color="CCCCCC"/>
              <w:bottom w:val="single" w:sz="4" w:space="0" w:color="CCCCCC"/>
              <w:left w:val="single" w:sz="4" w:space="0" w:color="CCCCCC"/>
              <w:right w:val="single" w:sz="4" w:space="0" w:color="CCCCCC"/>
            </w:tcBorders>
          </w:tcPr>
          <w:p>
            <w:r>
              <w:rPr>
                <w:b/>
                <w:color w:val="FFFFFF"/>
                <w:sz w:val="18"/>
              </w:rPr>
              <w:t>What to Monitor</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SCION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ransomware indicators, suspicious file encryption activity, and lateral movement attempts.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China</w:t>
              <w:br/>
              <w:t>State-Sponsored</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ETHEREAL PANDA</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spear phishing, credential harvesting, and outbound connections to Asia-Pacific regions.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Russian Federation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CHATTY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unauthorized access attempts, data exfiltration, and suspicious admin activity.</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Unknown</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HOOK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exploitation of known vulnerabilities, especially in web applications and IoT devices.</w:t>
            </w:r>
          </w:p>
        </w:tc>
      </w:tr>
      <w:tr>
        <w:tc>
          <w:tcPr>
            <w:tcW w:type="dxa" w:w="3360"/>
            <w:shd w:fill="F5F5F5" w:val="clear" w:color="auto"/>
            <w:tcBorders>
              <w:top w:val="single" w:sz="4" w:space="0" w:color="CCCCCC"/>
              <w:bottom w:val="single" w:sz="4" w:space="0" w:color="CCCCCC"/>
              <w:left w:val="single" w:sz="4" w:space="0" w:color="CCCCCC"/>
              <w:right w:val="single" w:sz="4" w:space="0" w:color="CCCCCC"/>
            </w:tcBorders>
          </w:tcPr>
          <w:p>
            <w:r>
              <w:rPr>
                <w:color w:val="333333"/>
                <w:sz w:val="18"/>
              </w:rPr>
              <w:t>Brazil</w:t>
              <w:br/>
              <w:t>Criminal</w:t>
            </w:r>
          </w:p>
        </w:tc>
        <w:tc>
          <w:tcPr>
            <w:tcW w:type="dxa" w:w="3360"/>
            <w:tcBorders>
              <w:top w:val="single" w:sz="4" w:space="0" w:color="CCCCCC"/>
              <w:bottom w:val="single" w:sz="4" w:space="0" w:color="CCCCCC"/>
              <w:left w:val="single" w:sz="4" w:space="0" w:color="CCCCCC"/>
              <w:right w:val="single" w:sz="4" w:space="0" w:color="CCCCCC"/>
            </w:tcBorders>
          </w:tcPr>
          <w:p>
            <w:r>
              <w:rPr>
                <w:color w:val="333333"/>
                <w:sz w:val="18"/>
              </w:rPr>
              <w:t>PLUMP SPIDER</w:t>
            </w:r>
          </w:p>
        </w:tc>
        <w:tc>
          <w:tcPr>
            <w:tcW w:type="dxa" w:w="3360"/>
            <w:shd w:fill="E3F2FD" w:val="clear" w:color="auto"/>
            <w:tcBorders>
              <w:top w:val="single" w:sz="4" w:space="0" w:color="CCCCCC"/>
              <w:bottom w:val="single" w:sz="4" w:space="0" w:color="CCCCCC"/>
              <w:left w:val="single" w:sz="4" w:space="0" w:color="CCCCCC"/>
              <w:right w:val="single" w:sz="4" w:space="0" w:color="CCCCCC"/>
            </w:tcBorders>
          </w:tcPr>
          <w:p>
            <w:r>
              <w:rPr>
                <w:color w:val="333333"/>
                <w:sz w:val="18"/>
              </w:rPr>
              <w:t>Monitor for phishing, credential theft, and suspicious network activity.</w:t>
            </w:r>
          </w:p>
        </w:tc>
      </w:tr>
    </w:tbl>
    <w:p/>
    <w:p>
      <w:pPr>
        <w:pStyle w:val="Heading1"/>
      </w:pPr>
      <w:r>
        <w:rPr>
          <w:rFonts w:ascii="Arial" w:hAnsi="Arial"/>
          <w:color w:val="FF5C41"/>
          <w:sz w:val="28"/>
        </w:rPr>
        <w:t>Recommended Actions</w:t>
      </w:r>
    </w:p>
    <w:p>
      <w:pPr>
        <w:pStyle w:val="ListBullet"/>
      </w:pPr>
      <w:r>
        <w:rPr>
          <w:sz w:val="20"/>
        </w:rPr>
        <w:t>Review scan results for exposed vulnerabilities; validate asset ownership and remediation timelines</w:t>
      </w:r>
    </w:p>
    <w:p>
      <w:pPr>
        <w:pStyle w:val="ListBullet"/>
      </w:pPr>
      <w:r>
        <w:rPr>
          <w:sz w:val="20"/>
        </w:rPr>
        <w:t>Brief development teams on current threat campaigns</w:t>
      </w:r>
    </w:p>
    <w:p>
      <w:pPr>
        <w:pStyle w:val="ListBullet"/>
      </w:pPr>
      <w:r>
        <w:rPr>
          <w:sz w:val="20"/>
        </w:rPr>
        <w:t>Verify endpoint protection has latest behavioral IOAs enabled</w:t>
      </w:r>
    </w:p>
    <w:p>
      <w:pPr>
        <w:pStyle w:val="ListBullet"/>
      </w:pPr>
      <w:r>
        <w:rPr>
          <w:sz w:val="20"/>
        </w:rPr>
        <w:t>Confirm SIEM is receiving logs from affected systems</w:t>
      </w:r>
    </w:p>
    <w:p/>
    <w:p/>
    <w:tbl>
      <w:tblPr>
        <w:tblW w:type="auto" w:w="0"/>
        <w:tblLook w:firstColumn="1" w:firstRow="1" w:lastColumn="0" w:lastRow="0" w:noHBand="0" w:noVBand="1" w:val="04A0"/>
      </w:tblPr>
      <w:tblGrid>
        <w:gridCol w:w="10080"/>
      </w:tblGrid>
      <w:tr>
        <w:tc>
          <w:tcPr>
            <w:tcW w:type="dxa" w:w="10080"/>
            <w:shd w:fill="E8F4F8" w:val="clear" w:color="auto"/>
            <w:tcBorders>
              <w:top w:val="single" w:sz="8" w:space="0" w:color="B0D4E3"/>
              <w:bottom w:val="single" w:sz="8" w:space="0" w:color="B0D4E3"/>
              <w:left w:val="single" w:sz="8" w:space="0" w:color="B0D4E3"/>
              <w:right w:val="single" w:sz="8" w:space="0" w:color="B0D4E3"/>
            </w:tcBorders>
          </w:tcPr>
          <w:p>
            <w:pPr>
              <w:spacing w:after="80"/>
            </w:pPr>
            <w:r>
              <w:rPr>
                <w:rFonts w:ascii="Arial" w:hAnsi="Arial"/>
                <w:b/>
                <w:color w:val="333333"/>
                <w:sz w:val="20"/>
              </w:rPr>
              <w:t>AI-Generated Intelligence Report</w:t>
            </w:r>
          </w:p>
          <w:p>
            <w:pPr>
              <w:spacing w:before="0" w:after="120" w:line="276" w:lineRule="auto"/>
            </w:pPr>
            <w:r>
              <w:rPr>
                <w:rFonts w:ascii="Arial" w:hAnsi="Arial"/>
                <w:color w:val="666666"/>
                <w:sz w:val="16"/>
              </w:rPr>
              <w:t>This report was generated using AI-powered analysis to curate and correlate threat intelligence from the following sources: NIST National Vulnerability Database (NVD), CISA Known Exploited Vulnerabilities (KEV) Catalog, Rapid7 InsightVM, CrowdStrike Falcon Intelligence, Intel471 Titan, ThreatQ, and MITRE ATT&amp;CK. The analysis identifies threats actively exploited in the wild or targeting the manufacturing, biotech, medical device, clinical, and genomics industries.</w:t>
            </w:r>
          </w:p>
        </w:tc>
      </w:tr>
    </w:tbl>
    <w:p/>
    <w:p>
      <w:pPr>
        <w:jc w:val="center"/>
      </w:pPr>
      <w:r>
        <w:rPr>
          <w:b/>
          <w:sz w:val="20"/>
        </w:rPr>
        <w:t>Questions or suspicious activity: secops@company.com | ServiceNow | cti@company.com</w:t>
      </w:r>
    </w:p>
    <w:p/>
    <w:sectPr w:rsidR="00FC693F" w:rsidRPr="0006063C" w:rsidSect="00034616">
      <w:background w:color="FFFFFF"/>
      <w:pgPr>
        <w:vAlign w:val="top"/>
      </w:pgPr>
      <w:headerReference w:type="default" r:id="rId9"/>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p>
    <w:pPr>
      <w:spacing w:before="40" w:after="0"/>
      <w:jc w:val="right"/>
    </w:pPr>
    <w:r>
      <w:rPr>
        <w:rFonts w:ascii="Consolas" w:hAnsi="Consolas"/>
        <w:color w:val="B0B0B0"/>
        <w:sz w:val="16"/>
      </w:rPr>
      <w:t>CTI-WK-2026-19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color w:val="33333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