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 w:line="216" w:lineRule="auto"/>
        <w:jc w:val="left"/>
      </w:pPr>
      <w:r>
        <w:rPr>
          <w:rFonts w:ascii="Arial" w:hAnsi="Arial"/>
          <w:b/>
          <w:color w:val="FF5C41"/>
          <w:sz w:val="36"/>
        </w:rPr>
        <w:t>Cyber Threat Intelligence Weekly Report</w:t>
      </w:r>
    </w:p>
    <w:p>
      <w:pPr>
        <w:spacing w:before="40" w:after="120"/>
        <w:jc w:val="left"/>
      </w:pPr>
      <w:r>
        <w:rPr>
          <w:rFonts w:ascii="Arial" w:hAnsi="Arial"/>
          <w:color w:val="B0B0B0"/>
          <w:sz w:val="20"/>
        </w:rPr>
        <w:t>7-Day Lookback | April 18 to April 25, 2026</w:t>
      </w:r>
    </w:p>
    <w:p/>
    <w:p>
      <w:pPr>
        <w:pStyle w:val="Heading1"/>
        <w:spacing w:before="0" w:after="0"/>
      </w:pPr>
      <w:r>
        <w:rPr>
          <w:rFonts w:ascii="Arial" w:hAnsi="Arial"/>
          <w:b/>
          <w:color w:val="FF5C41"/>
          <w:sz w:val="28"/>
        </w:rPr>
        <w:t>Executive Summary</w:t>
      </w:r>
    </w:p>
    <w:p>
      <w:pPr>
        <w:spacing w:before="0" w:after="0"/>
        <w:jc w:val="center"/>
      </w:pPr>
      <w:r>
        <w:rPr>
          <w:color w:val="666666"/>
          <w:sz w:val="21"/>
        </w:rPr>
        <w:t>•</w:t>
      </w:r>
    </w:p>
    <w:p>
      <w:pPr>
        <w:spacing w:before="0" w:after="80" w:line="360" w:lineRule="auto"/>
      </w:pPr>
      <w:r>
        <w:rPr>
          <w:rFonts w:ascii="Arial" w:hAnsi="Arial"/>
          <w:color w:val="333333"/>
          <w:sz w:val="21"/>
        </w:rPr>
        <w:t>This week's threat intelligence analysis identified 466 vulnerabilities detected in our environment through Rapid7 InsightVM scans. Of these, 0 are rated P1 (critical/actively exploited), 466 are P2, and 0 are P3. Immediate attention is recommended for any P1 items.</w:t>
        <w:br/>
        <w:br/>
        <w:t>Note: AI-powered analysis was unavailable for this report. The vulnerability data below is sourced directly from Rapid7 scan results cross-referenced with NVD severity ratings. Only CVEs detected in our environment are included.</w:t>
      </w:r>
    </w:p>
    <w:p>
      <w:pPr>
        <w:pStyle w:val="Heading1"/>
        <w:spacing w:before="120" w:after="0"/>
      </w:pPr>
      <w:r>
        <w:rPr>
          <w:rFonts w:ascii="Arial" w:hAnsi="Arial"/>
          <w:b/>
          <w:color w:val="FF5C41"/>
          <w:sz w:val="28"/>
        </w:rPr>
        <w:t xml:space="preserve">This Week </w:t>
      </w:r>
      <w:r>
        <w:rPr>
          <w:rFonts w:ascii="Arial" w:hAnsi="Arial"/>
          <w:b/>
          <w:color w:val="FF5C41"/>
          <w:sz w:val="28"/>
          <w:u w:val="none"/>
        </w:rPr>
        <w:t>at a Glance</w:t>
      </w:r>
    </w:p>
    <w:p>
      <w:pPr>
        <w:spacing w:before="200" w:after="80"/>
      </w:pPr>
      <w:r>
        <w:rPr>
          <w:rFonts w:ascii="Arial" w:hAnsi="Arial"/>
          <w:i/>
          <w:color w:val="B0B0B0"/>
          <w:sz w:val="18"/>
        </w:rPr>
        <w:t>Vulnerability and threat actor metrics from automated collection (April 18 to April 25, 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466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New This Week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First appearance in Rapid7 scans</w:t>
            </w:r>
          </w:p>
        </w:tc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0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Persistent (3+ Wks)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Unresolved from prior reports</w:t>
            </w:r>
          </w:p>
        </w:tc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ECC71"/>
                <w:sz w:val="44"/>
              </w:rPr>
              <w:t>0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Resolved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Remediated since last week</w:t>
            </w:r>
          </w:p>
        </w:tc>
      </w:tr>
    </w:tbl>
    <w:p>
      <w:pPr>
        <w:spacing w:before="0"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466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Total Exposed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CVEs on assets</w:t>
            </w:r>
          </w:p>
        </w:tc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0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Actively Exploited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Confirmed threat actor use</w:t>
            </w:r>
          </w:p>
        </w:tc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0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Actor Groups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Targeting biotech sector</w:t>
            </w:r>
          </w:p>
        </w:tc>
      </w:tr>
    </w:tbl>
    <w:p>
      <w:pPr>
        <w:spacing w:before="0" w:after="120"/>
      </w:pPr>
    </w:p>
    <w:p>
      <w:pPr>
        <w:pStyle w:val="Heading1"/>
      </w:pPr>
      <w:r>
        <w:rPr>
          <w:rFonts w:ascii="Arial" w:hAnsi="Arial"/>
          <w:color w:val="FF5C41"/>
          <w:sz w:val="28"/>
        </w:rPr>
        <w:t>Vulnerability Exposure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CVE ID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Affected Product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Exposure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Exploited By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168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Wks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CVE-2023-33999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7 systems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CVE-2021-39317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7 systems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CVE-2022-23975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7 systems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CVE-2022-4974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6 systems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CVE-2025-64293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CVE-2024-13555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CVE-2024-13609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CVE-2025-3455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CVE-2022-45357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CVE-2022-45368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CVE-2023-49173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CVE-2023-46641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CVE-2024-22296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CVE-2024-35693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CVE-2025-24580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CVE-2025-24582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CVE-2025-24583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CVE-2025-54054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CVE-2023-4298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CVE-2020-36510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CVE-2012-4272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CVE-2012-4273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CVE-2020-36729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CVE-2017-14622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CVE-2021-4428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CVE-2025-26768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CVE-2019-15082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CVE-2023-48779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CVE-2024-12271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CVE-2024-1637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CVE-2023-29059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CVE-2021-24732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CVE-2024-0895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CVE-2024-11830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CVE-2024-29807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CVE-2024-4367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CVE-2024-8717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CVE-2025-5314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CVE-2025-49394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CVE-2021-4436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CVE-2024-10480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CVE-2025-30865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CVE-2025-3427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CVE-2025-3428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CVE-2025-3429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CVE-2025-3430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CVE-2022-3899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CVE-2024-12514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CVE-2023-49755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CVE-2025-49322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CVE-2021-24324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CVE-2021-24325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CVE-2023-50848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CVE-2023-52146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CVE-2024-1068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CVE-2024-11094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CVE-2024-11277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CVE-2025-14477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CVE-2015-9323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CVE-2021-24766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CVE-2021-4338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CVE-2012-10009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CVE-2024-9204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CVE-2022-2118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CVE-2022-44628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CVE-2022-30545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CVE-2022-0657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CVE-2024-31358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CVE-2024-32725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CVE-2025-32114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CVE-2005-3051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CVE-2007-4725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CVE-2008-6536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CVE-2016-2334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CVE-2016-2335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CVE-2016-7804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CVE-2017-17969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CVE-2018-10115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CVE-2018-10172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CVE-2018-5996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CVE-2022-29072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CVE-2022-47111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CVE-2022-47112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CVE-2023-31102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CVE-2023-40481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CVE-2023-52168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CVE-2023-52169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CVE-2024-11477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CVE-2024-11612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CVE-2025-0411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CVE-2025-11001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CVE-2025-11002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CVE-2025-53816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CVE-2025-53817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CVE-2025-55188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CVE-2023-0503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CVE-2025-22801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CVE-2024-3473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CVE-2013-10020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CVE-2025-27012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CVE-2023-23711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CVE-2025-9873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CVE-2023-29097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CVE-2024-1677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CVE-2024-1679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CVE-2024-43310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CVE-2025-24603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CVE-2023-2178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CVE-2025-6813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CVE-2022-4794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CVE-2015-2755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CVE-2025-32586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CVE-2025-3752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CVE-2025-46475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CVE-2024-13465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CVE-2025-47616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CVE-2025-26592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CVE-2021-24745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CVE-2025-30808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CVE-2021-4426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CVE-2024-8965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CVE-2025-1671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CVE-2025-62055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CVE-2024-1505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CVE-2024-32714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CVE-2024-33912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CVE-2024-35171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CVE-2024-37234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CVE-2024-38701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CVE-2025-12099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CVE-2025-15521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CVE-2025-59562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CVE-2025-68527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CVE-2026-25372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CVE-2025-11086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CVE-2025-12098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CVE-2018-20838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CVE-2021-23150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CVE-2021-23209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CVE-2023-48321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CVE-2023-6782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CVE-2024-0587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CVE-2024-1043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CVE-2024-11254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CVE-2024-43146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CVE-2024-6896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CVE-2024-9598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CVE-2025-14468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CVE-2026-0627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CVE-2021-27101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CVE-2021-27102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CVE-2021-27103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CVE-2021-27104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CVE-2024-12250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CVE-2025-53322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CVE-2025-2883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CVE-2024-12255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CVE-2025-12834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CVE-2025-53309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CVE-2022-23976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CVE-2020-36875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CVE-2021-24226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CVE-2025-10375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CVE-2025-13113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CVE-2025-26981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CVE-2025-49920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CVE-2025-64246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CVE-2025-57886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CVE-2025-58976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CVE-2025-58981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CVE-2023-2635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CVE-2023-28933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CVE-2022-41643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CVE-2024-24705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CVE-2025-66112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CVE-2025-47681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CVE-2024-32831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CVE-2021-24867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CVE-2017-16949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CVE-2021-24143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CVE-2015-9485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CVE-2015-9484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CVE-2021-44207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CVE-2023-39996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CVE-2023-40200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CVE-2026-0727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CVE-2023-40331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CVE-2024-5020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CVE-2024-9582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CVE-2025-66092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CVE-2025-67518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CVE-2024-51685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CVE-2022-33198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CVE-2022-38104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CVE-2022-45082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CVE-2023-25962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CVE-2020-13644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CVE-2021-24283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CVE-2024-1641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CVE-2024-47342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CVE-2025-32143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CVE-2025-53421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CVE-2025-58678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CVE-2023-47809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CVE-2023-5666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CVE-2025-69350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CVE-2024-11324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CVE-2025-26929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CVE-2025-30835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CVE-2024-33685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CVE-2023-50827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CVE-2024-13909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CVE-2025-13405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CVE-2019-14682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CVE-2024-56264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CVE-2021-24865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CVE-2023-5292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CVE-2025-13486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CVE-2025-14533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CVE-2023-51411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CVE-2024-11720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CVE-2024-11721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CVE-2024-11722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CVE-2024-3729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CVE-2025-13342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CVE-2025-14736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CVE-2025-14741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CVE-2025-14937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CVE-2025-26987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CVE-2025-49267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CVE-2025-49303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CVE-2025-5841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CVE-2023-7286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CVE-2020-13700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CVE-2025-10380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CVE-2025-62021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CVE-2023-47793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CVE-2024-10638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CVE-2024-12109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CVE-2024-24886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CVE-2024-53817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CVE-2025-12087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CVE-2025-47544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CVE-2025-47588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CVE-2016-0931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CVE-2016-0932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CVE-2016-0933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CVE-2016-0934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CVE-2016-0935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CVE-2016-0936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CVE-2016-0937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CVE-2016-0938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CVE-2016-0939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CVE-2016-0940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CVE-2016-0941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CVE-2016-0942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CVE-2016-0943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CVE-2016-0944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CVE-2016-0945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CVE-2016-0946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CVE-2016-0947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CVE-2016-1007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CVE-2016-1008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CVE-2016-1037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CVE-2016-1038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CVE-2016-1039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CVE-2016-1049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CVE-2016-1059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CVE-2016-1069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CVE-2016-1079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CVE-2016-1089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CVE-2016-1090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CVE-2016-1091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CVE-2016-1092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CVE-2016-1093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CVE-2016-1094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CVE-2016-1095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CVE-2016-1111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CVE-2016-1112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CVE-2016-1116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CVE-2016-1117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CVE-2016-1118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CVE-2016-1119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CVE-2016-1129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CVE-2016-1130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CVE-2016-4088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CVE-2016-4089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CVE-2016-4099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CVE-2016-4100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CVE-2016-4101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CVE-2016-4102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CVE-2016-4103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CVE-2016-4104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CVE-2016-4105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CVE-2016-4106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CVE-2016-4107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CVE-2016-4119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CVE-2016-4191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CVE-2016-4192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CVE-2016-4193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CVE-2016-4194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CVE-2016-4195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CVE-2016-4196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CVE-2016-4197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CVE-2016-4198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CVE-2016-4199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CVE-2016-4210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CVE-2016-4211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CVE-2016-4212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CVE-2016-4213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CVE-2016-4214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CVE-2016-4215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CVE-2016-4250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CVE-2016-4251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CVE-2016-4252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CVE-2016-4254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CVE-2016-4255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CVE-2016-4265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CVE-2016-4266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CVE-2016-4267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CVE-2016-4268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CVE-2016-4269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CVE-2016-4270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CVE-2016-6937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CVE-2016-6938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CVE-2016-6939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CVE-2016-6949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CVE-2016-6959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CVE-2016-6969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CVE-2016-6979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CVE-2016-6988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CVE-2016-6993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CVE-2016-6994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CVE-2016-6995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CVE-2016-6996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CVE-2016-6997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CVE-2016-6998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CVE-2016-6999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CVE-2016-7008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CVE-2016-7009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CVE-2016-7010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CVE-2016-7011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CVE-2016-7012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CVE-2016-7013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CVE-2016-7014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CVE-2016-7015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CVE-2016-7016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CVE-2016-7017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 system</w:t>
            </w:r>
          </w:p>
        </w:tc>
        <w:tc>
          <w:tcPr>
            <w:tcW w:type="dxa" w:w="1680"/>
            <w:shd w:fill="E8F5E9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F3E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P2</w:t>
            </w:r>
          </w:p>
        </w:tc>
        <w:tc>
          <w:tcPr>
            <w:tcW w:type="dxa" w:w="168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</w:tbl>
    <w:p>
      <w:pPr>
        <w:jc w:val="left"/>
      </w:pPr>
      <w:r>
        <w:rPr>
          <w:rFonts w:ascii="Arial" w:hAnsi="Arial"/>
          <w:i/>
          <w:color w:val="666666"/>
          <w:sz w:val="14"/>
        </w:rPr>
        <w:t>Priority: P1 = Address immediately (24-48 hours) • P2 = Patch within 7-14 days • P3 = Schedule within 30 days   |   Wks = consecutive weeks detected. Items at 3+ weeks (yellow) are persistent and require escalation. Items at 4+ weeks (red) are long overdue. Source: Rapid7 InsightVM scans.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Sector Threat Activity</w:t>
      </w:r>
    </w:p>
    <w:p>
      <w:r>
        <w:rPr>
          <w:i/>
          <w:color w:val="666666"/>
          <w:sz w:val="20"/>
        </w:rPr>
        <w:t>The following threat actors have been observed targeting organizations in the biotech, pharmaceutical, healthcare, manufacturing, and related sectors this week.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Origin / Motivation</w:t>
            </w:r>
          </w:p>
        </w:tc>
        <w:tc>
          <w:tcPr>
            <w:tcW w:type="dxa" w:w="336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Activity Observed</w:t>
            </w:r>
          </w:p>
        </w:tc>
        <w:tc>
          <w:tcPr>
            <w:tcW w:type="dxa" w:w="3360"/>
            <w:shd w:fill="E65100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What to Monitor</w:t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  <w:br/>
              <w:t>Criminal</w:t>
            </w:r>
          </w:p>
        </w:tc>
        <w:tc>
          <w:tcPr>
            <w:tcW w:type="dxa" w:w="336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VICE SPIDER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  <w:br/>
              <w:t>Criminal</w:t>
            </w:r>
          </w:p>
        </w:tc>
        <w:tc>
          <w:tcPr>
            <w:tcW w:type="dxa" w:w="336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PUNK SPIDER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Russian Federation</w:t>
              <w:br/>
              <w:t>Criminal</w:t>
            </w:r>
          </w:p>
        </w:tc>
        <w:tc>
          <w:tcPr>
            <w:tcW w:type="dxa" w:w="336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TRAVELING SPIDER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  <w:br/>
              <w:t>Criminal</w:t>
            </w:r>
          </w:p>
        </w:tc>
        <w:tc>
          <w:tcPr>
            <w:tcW w:type="dxa" w:w="336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SLY SPIDER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</w:r>
          </w:p>
        </w:tc>
      </w:tr>
      <w:tr>
        <w:tc>
          <w:tcPr>
            <w:tcW w:type="dxa" w:w="3360"/>
            <w:shd w:fill="F5F5F5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Unknown</w:t>
              <w:br/>
              <w:t>Criminal</w:t>
            </w:r>
          </w:p>
        </w:tc>
        <w:tc>
          <w:tcPr>
            <w:tcW w:type="dxa" w:w="336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HOOK SPIDER</w:t>
            </w:r>
          </w:p>
        </w:tc>
        <w:tc>
          <w:tcPr>
            <w:tcW w:type="dxa" w:w="3360"/>
            <w:shd w:fill="E3F2FD" w:val="clear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Arial" w:hAnsi="Arial"/>
          <w:color w:val="FF5C41"/>
          <w:sz w:val="28"/>
        </w:rPr>
        <w:t>Exploitation Indicators for This Week's CVEs</w:t>
      </w:r>
    </w:p>
    <w:p>
      <w:r>
        <w:t>No exploitation indicators available for this week's CVEs.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Recommended Actions</w:t>
      </w:r>
    </w:p>
    <w:p>
      <w:pPr>
        <w:pStyle w:val="ListBullet"/>
      </w:pPr>
      <w:r>
        <w:rPr>
          <w:b/>
          <w:sz w:val="20"/>
        </w:rPr>
        <w:t>Review P1 vulnerabilities immediately and initiate patching within 24-48 hours</w:t>
      </w:r>
    </w:p>
    <w:p>
      <w:pPr>
        <w:pStyle w:val="ListBullet"/>
      </w:pPr>
      <w:r>
        <w:rPr>
          <w:b/>
          <w:sz w:val="20"/>
        </w:rPr>
        <w:t>Validate Rapid7 scan coverage to ensure all critical assets are being assessed</w:t>
      </w:r>
    </w:p>
    <w:p>
      <w:pPr>
        <w:pStyle w:val="ListBullet"/>
      </w:pPr>
      <w:r>
        <w:rPr>
          <w:sz w:val="20"/>
        </w:rPr>
        <w:t>Cross-reference detected CVEs with CISA KEV catalog for exploitation status</w:t>
      </w:r>
    </w:p>
    <w:p>
      <w:pPr>
        <w:pStyle w:val="ListBullet"/>
      </w:pPr>
      <w:r>
        <w:rPr>
          <w:sz w:val="20"/>
        </w:rPr>
        <w:t>Prioritize remediation based on exposure count (higher count = more risk)</w:t>
      </w:r>
    </w:p>
    <w:p>
      <w:pPr>
        <w:pStyle w:val="ListBullet"/>
      </w:pPr>
      <w:r>
        <w:rPr>
          <w:sz w:val="20"/>
        </w:rPr>
        <w:t>Schedule follow-up analysis once AI analysis is available for deeper threat correlation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Sources</w:t>
      </w:r>
    </w:p>
    <w:p>
      <w:pPr>
        <w:pStyle w:val="ListBullet"/>
      </w:pPr>
      <w:r>
        <w:rPr>
          <w:b/>
          <w:sz w:val="20"/>
        </w:rPr>
        <w:t>NIST National Vulnerability Database (NVD)</w:t>
      </w:r>
      <w:r>
        <w:rPr>
          <w:color w:val="666666"/>
          <w:sz w:val="20"/>
        </w:rPr>
        <w:t xml:space="preserve">  https://nvd.nist.gov/</w:t>
      </w:r>
    </w:p>
    <w:p>
      <w:pPr>
        <w:pStyle w:val="ListBullet"/>
      </w:pPr>
      <w:r>
        <w:rPr>
          <w:b/>
          <w:sz w:val="20"/>
        </w:rPr>
        <w:t>CISA Known Exploited Vulnerabilities (KEV) Catalog</w:t>
      </w:r>
      <w:r>
        <w:rPr>
          <w:color w:val="666666"/>
          <w:sz w:val="20"/>
        </w:rPr>
        <w:t xml:space="preserve">  https://www.cisa.gov/known-exploited-vulnerabilities-catalog</w:t>
      </w:r>
    </w:p>
    <w:p>
      <w:pPr>
        <w:pStyle w:val="ListBullet"/>
      </w:pPr>
      <w:r>
        <w:rPr>
          <w:b/>
          <w:sz w:val="20"/>
        </w:rPr>
        <w:t>Rapid7 InsightVM</w:t>
      </w:r>
      <w:r>
        <w:rPr>
          <w:color w:val="666666"/>
          <w:sz w:val="20"/>
        </w:rPr>
        <w:t xml:space="preserve"> — Asset vulnerability scans and exposure data</w:t>
      </w:r>
    </w:p>
    <w:p>
      <w:pPr>
        <w:pStyle w:val="ListBullet"/>
      </w:pPr>
      <w:r>
        <w:rPr>
          <w:b/>
          <w:sz w:val="20"/>
        </w:rPr>
        <w:t>CrowdStrike Falcon Intelligence</w:t>
      </w:r>
      <w:r>
        <w:rPr>
          <w:color w:val="666666"/>
          <w:sz w:val="20"/>
        </w:rPr>
        <w:t xml:space="preserve"> — Threat actor profiles and APT tracking</w:t>
      </w:r>
    </w:p>
    <w:p>
      <w:pPr>
        <w:pStyle w:val="ListBullet"/>
      </w:pPr>
      <w:r>
        <w:rPr>
          <w:b/>
          <w:sz w:val="20"/>
        </w:rPr>
        <w:t>Intel471 Titan</w:t>
      </w:r>
      <w:r>
        <w:rPr>
          <w:color w:val="666666"/>
          <w:sz w:val="20"/>
        </w:rPr>
        <w:t xml:space="preserve"> — Underground threat intelligence and breach reporting</w:t>
      </w:r>
    </w:p>
    <w:p>
      <w:pPr>
        <w:pStyle w:val="ListBullet"/>
      </w:pPr>
      <w:r>
        <w:rPr>
          <w:b/>
          <w:sz w:val="20"/>
        </w:rPr>
        <w:t>ThreatQ</w:t>
      </w:r>
      <w:r>
        <w:rPr>
          <w:color w:val="666666"/>
          <w:sz w:val="20"/>
        </w:rPr>
        <w:t xml:space="preserve"> — Indicator of compromise (IOC) aggregation</w:t>
      </w:r>
    </w:p>
    <w:p>
      <w:pPr>
        <w:pStyle w:val="ListBullet"/>
      </w:pPr>
      <w:r>
        <w:rPr>
          <w:b/>
          <w:sz w:val="20"/>
        </w:rPr>
        <w:t>MITRE ATT&amp;CK</w:t>
      </w:r>
      <w:r>
        <w:rPr>
          <w:color w:val="666666"/>
          <w:sz w:val="20"/>
        </w:rPr>
        <w:t xml:space="preserve">  https://attack.mitre.org/</w:t>
      </w:r>
    </w:p>
    <w:p/>
    <w:p>
      <w:pPr>
        <w:jc w:val="center"/>
      </w:pPr>
      <w:r>
        <w:rPr>
          <w:b/>
          <w:sz w:val="20"/>
        </w:rPr>
        <w:t>Questions or suspicious activity: secops@company.com | ServiceNow | cti@company.com</w:t>
      </w:r>
    </w:p>
    <w:p/>
    <w:sectPr w:rsidR="00FC693F" w:rsidRPr="0006063C" w:rsidSect="00034616">
      <w:background w:color="FFFFFF"/>
      <w:pgPr>
        <w:vAlign w:val="top"/>
      </w:pgPr>
      <w:headerReference w:type="default" r:id="rId9"/>
      <w:pgSz w:w="12240" w:h="15840"/>
      <w:pgMar w:top="1800" w:right="1080" w:bottom="1267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6877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lletin_bann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687772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40" w:after="0"/>
      <w:jc w:val="right"/>
    </w:pPr>
    <w:r>
      <w:rPr>
        <w:rFonts w:ascii="Consolas" w:hAnsi="Consolas"/>
        <w:color w:val="B0B0B0"/>
        <w:sz w:val="16"/>
      </w:rPr>
      <w:t>CTI-WK-2026-17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