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 w:line="216" w:lineRule="auto"/>
        <w:jc w:val="left"/>
      </w:pPr>
      <w:r>
        <w:rPr>
          <w:rFonts w:ascii="Arial" w:hAnsi="Arial"/>
          <w:b/>
          <w:color w:val="FF5C41"/>
          <w:sz w:val="36"/>
        </w:rPr>
        <w:t>Cyber Threat Intelligence Weekly Report</w:t>
      </w:r>
    </w:p>
    <w:p>
      <w:pPr>
        <w:spacing w:before="40" w:after="120"/>
        <w:jc w:val="left"/>
      </w:pPr>
      <w:r>
        <w:rPr>
          <w:rFonts w:ascii="Arial" w:hAnsi="Arial"/>
          <w:color w:val="B0B0B0"/>
          <w:sz w:val="20"/>
        </w:rPr>
        <w:t>Week 6 | February 02 to 08, 2026</w:t>
      </w:r>
    </w:p>
    <w:p/>
    <w:p>
      <w:pPr>
        <w:pStyle w:val="Heading1"/>
        <w:spacing w:before="0" w:after="0"/>
      </w:pPr>
      <w:r>
        <w:rPr>
          <w:rFonts w:ascii="Arial" w:hAnsi="Arial"/>
          <w:b/>
          <w:color w:val="FF5C41"/>
          <w:sz w:val="28"/>
        </w:rPr>
        <w:t>Executive Summary</w:t>
      </w:r>
    </w:p>
    <w:p>
      <w:pPr>
        <w:spacing w:before="0" w:after="0"/>
        <w:jc w:val="center"/>
      </w:pPr>
      <w:r>
        <w:rPr>
          <w:color w:val="666666"/>
          <w:sz w:val="21"/>
        </w:rPr>
        <w:t>•</w:t>
      </w:r>
    </w:p>
    <w:p>
      <w:pPr>
        <w:spacing w:before="0" w:after="80" w:line="360" w:lineRule="auto"/>
      </w:pPr>
      <w:r>
        <w:rPr>
          <w:rFonts w:ascii="Arial" w:hAnsi="Arial"/>
          <w:color w:val="333333"/>
          <w:sz w:val="21"/>
        </w:rPr>
        <w:t>This week's threat intelligence collection identified 12 new vulnerabilities affecting our environment, with 4 CVEs confirmed to be actively exploited in the wild. Three APT groups with known interest in the life sciences sector were observed conducting campaigns this week.</w:t>
        <w:br/>
        <w:br/>
        <w:t>No direct threats to the organization were identified; however, the CVEs and threat actors observed are consistent with those historically targeting genomics and biotech companies. Immediate attention is recommended for CVE-2026-22907 (Grafana) which has public exploit code.</w:t>
      </w:r>
    </w:p>
    <w:p>
      <w:pPr>
        <w:pStyle w:val="Heading1"/>
        <w:spacing w:before="120" w:after="0"/>
      </w:pPr>
      <w:r>
        <w:rPr>
          <w:rFonts w:ascii="Arial" w:hAnsi="Arial"/>
          <w:b/>
          <w:color w:val="FF5C41"/>
          <w:sz w:val="28"/>
        </w:rPr>
        <w:t xml:space="preserve">This Week </w:t>
      </w:r>
      <w:r>
        <w:rPr>
          <w:rFonts w:ascii="Arial" w:hAnsi="Arial"/>
          <w:b/>
          <w:color w:val="FF5C41"/>
          <w:sz w:val="28"/>
          <w:u w:val="none"/>
        </w:rPr>
        <w:t>at a Glance</w:t>
      </w:r>
    </w:p>
    <w:p>
      <w:pPr>
        <w:spacing w:before="200" w:after="80"/>
      </w:pPr>
      <w:r>
        <w:rPr>
          <w:rFonts w:ascii="Arial" w:hAnsi="Arial"/>
          <w:i/>
          <w:color w:val="B0B0B0"/>
          <w:sz w:val="18"/>
        </w:rPr>
        <w:t>Vulnerability and threat actor metrics from automated collection (February 02 to 08, 2026).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5C41"/>
                <w:sz w:val="44"/>
              </w:rPr>
              <w:t>8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New This Week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First appearance in Rapid7 scans</w:t>
            </w:r>
          </w:p>
        </w:tc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5C41"/>
                <w:sz w:val="44"/>
              </w:rPr>
              <w:t>4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Persistent (3+ Wks)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Unresolved from prior reports</w:t>
            </w:r>
          </w:p>
        </w:tc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2ECC71"/>
                <w:sz w:val="44"/>
              </w:rPr>
              <w:t>3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Resolved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Remediated since last week</w:t>
            </w:r>
          </w:p>
        </w:tc>
      </w:tr>
    </w:tbl>
    <w:p>
      <w:pPr>
        <w:spacing w:before="0"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3B3B"/>
                <w:sz w:val="44"/>
              </w:rPr>
              <w:t>12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Total Exposed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CVEs on assets</w:t>
            </w:r>
          </w:p>
        </w:tc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3B3B"/>
                <w:sz w:val="44"/>
              </w:rPr>
              <w:t>4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Actively Exploited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Confirmed threat actor use</w:t>
            </w:r>
          </w:p>
        </w:tc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F3B3B"/>
                <w:sz w:val="44"/>
              </w:rPr>
              <w:t>3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000000"/>
                <w:sz w:val="20"/>
              </w:rPr>
              <w:t>Actor Groups</w:t>
            </w:r>
          </w:p>
          <w:p>
            <w:pPr>
              <w:spacing w:before="0" w:after="160"/>
              <w:jc w:val="center"/>
            </w:pPr>
            <w:r>
              <w:rPr>
                <w:rFonts w:ascii="Arial" w:hAnsi="Arial"/>
                <w:color w:val="666666"/>
                <w:sz w:val="16"/>
              </w:rPr>
              <w:t>Targeting biotech sector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color w:val="FF5C41"/>
          <w:sz w:val="28"/>
        </w:rPr>
        <w:t>Vulnerability Exposure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CVE ID</w:t>
            </w:r>
          </w:p>
        </w:tc>
        <w:tc>
          <w:tcPr>
            <w:tcW w:type="dxa" w:w="168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Affected Product</w:t>
            </w:r>
          </w:p>
        </w:tc>
        <w:tc>
          <w:tcPr>
            <w:tcW w:type="dxa" w:w="168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type="dxa" w:w="168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Exploited By</w:t>
            </w:r>
          </w:p>
        </w:tc>
        <w:tc>
          <w:tcPr>
            <w:tcW w:type="dxa" w:w="168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68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Wks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CVE-2026-22907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Grafana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12 servers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APT41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CRITICAL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New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CVE-2026-22908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GLPI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3 servers</w:t>
            </w:r>
          </w:p>
        </w:tc>
        <w:tc>
          <w:tcPr>
            <w:tcW w:type="dxa" w:w="1680"/>
            <w:shd w:fill="E8F5E9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None known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HIGH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New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CVE-2026-0713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Windows Print Spooler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28 servers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Ransomware groups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CRITICAL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CVE-2021-47757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Apache Log4j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142 endpoints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Multiple actors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CRITICAL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6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CVE-2025-98213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VMware vCenter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6 servers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APT29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HIGH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CVE-2025-12345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Microsoft Exchange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47 servers</w:t>
            </w:r>
          </w:p>
        </w:tc>
        <w:tc>
          <w:tcPr>
            <w:tcW w:type="dxa" w:w="1680"/>
            <w:shd w:fill="FFF8E1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PoC available</w:t>
            </w:r>
          </w:p>
        </w:tc>
        <w:tc>
          <w:tcPr>
            <w:tcW w:type="dxa" w:w="1680"/>
            <w:shd w:fill="FFEBEE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HIGH</w:t>
            </w:r>
          </w:p>
        </w:tc>
        <w:tc>
          <w:tcPr>
            <w:tcW w:type="dxa" w:w="1680"/>
            <w:shd w:fill="FFF8E1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CVE-2024-5678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PostgreSQL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4 databases</w:t>
            </w:r>
          </w:p>
        </w:tc>
        <w:tc>
          <w:tcPr>
            <w:tcW w:type="dxa" w:w="1680"/>
            <w:shd w:fill="E8F5E9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None observed</w:t>
            </w:r>
          </w:p>
        </w:tc>
        <w:tc>
          <w:tcPr>
            <w:tcW w:type="dxa" w:w="1680"/>
            <w:shd w:fill="FFF3E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MEDIUM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CVE-2024-9999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Internal API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Production</w:t>
            </w:r>
          </w:p>
        </w:tc>
        <w:tc>
          <w:tcPr>
            <w:tcW w:type="dxa" w:w="1680"/>
            <w:shd w:fill="E8F5E9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None known</w:t>
            </w:r>
          </w:p>
        </w:tc>
        <w:tc>
          <w:tcPr>
            <w:tcW w:type="dxa" w:w="1680"/>
            <w:shd w:fill="E8F5E9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LOW</w:t>
            </w:r>
          </w:p>
        </w:tc>
        <w:tc>
          <w:tcPr>
            <w:tcW w:type="dxa" w:w="16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333333"/>
                <w:sz w:val="18"/>
              </w:rPr>
              <w:t>New</w:t>
            </w:r>
          </w:p>
        </w:tc>
      </w:tr>
    </w:tbl>
    <w:p>
      <w:pPr>
        <w:jc w:val="left"/>
      </w:pPr>
      <w:r>
        <w:rPr>
          <w:rFonts w:ascii="Arial" w:hAnsi="Arial"/>
          <w:i/>
          <w:color w:val="666666"/>
          <w:sz w:val="14"/>
        </w:rPr>
        <w:t>Wks = consecutive weeks detected. Items at 3+ weeks highlighted. Source: Rapid7 InsightVM scans.</w:t>
      </w:r>
    </w:p>
    <w:p/>
    <w:p>
      <w:pPr>
        <w:pStyle w:val="Heading1"/>
      </w:pPr>
      <w:r>
        <w:rPr>
          <w:rFonts w:ascii="Arial" w:hAnsi="Arial"/>
          <w:color w:val="FF5C41"/>
          <w:sz w:val="28"/>
        </w:rPr>
        <w:t>Sector Threat Activity</w:t>
      </w:r>
    </w:p>
    <w:p>
      <w:r>
        <w:rPr>
          <w:i/>
          <w:color w:val="666666"/>
          <w:sz w:val="20"/>
        </w:rPr>
        <w:t>The following threat actors have been observed targeting organizations in the biotech, pharmaceutical, healthcare, manufacturing, and related sectors this week.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Origin / Motivation</w:t>
            </w:r>
          </w:p>
        </w:tc>
        <w:tc>
          <w:tcPr>
            <w:tcW w:type="dxa" w:w="336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Activity Observed</w:t>
            </w:r>
          </w:p>
        </w:tc>
        <w:tc>
          <w:tcPr>
            <w:tcW w:type="dxa" w:w="3360"/>
            <w:shd w:fill="E65100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What to Monitor</w:t>
            </w:r>
          </w:p>
        </w:tc>
      </w:tr>
      <w:tr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China</w:t>
              <w:br/>
              <w:t>Espionage / Financial</w:t>
            </w:r>
          </w:p>
        </w:tc>
        <w:tc>
          <w:tcPr>
            <w:tcW w:type="dxa" w:w="33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APT41, Targeting pharmaceutical supply chains via compromised software updates</w:t>
            </w:r>
          </w:p>
        </w:tc>
        <w:tc>
          <w:tcPr>
            <w:tcW w:type="dxa" w:w="3360"/>
            <w:shd w:fill="E3F2FD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Software update anomalies; unexpected binary modifications</w:t>
            </w:r>
          </w:p>
        </w:tc>
      </w:tr>
      <w:tr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North Korea</w:t>
              <w:br/>
              <w:t>Financial / Espionage</w:t>
            </w:r>
          </w:p>
        </w:tc>
        <w:tc>
          <w:tcPr>
            <w:tcW w:type="dxa" w:w="33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Lazarus Group, LinkedIn-based social engineering targeting biotech researchers</w:t>
            </w:r>
          </w:p>
        </w:tc>
        <w:tc>
          <w:tcPr>
            <w:tcW w:type="dxa" w:w="3360"/>
            <w:shd w:fill="E3F2FD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Suspicious LinkedIn outreach to research staff</w:t>
            </w:r>
          </w:p>
        </w:tc>
      </w:tr>
      <w:tr>
        <w:tc>
          <w:tcPr>
            <w:tcW w:type="dxa" w:w="3360"/>
            <w:shd w:fill="F5F5F5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Russia</w:t>
              <w:br/>
              <w:t>Financial</w:t>
            </w:r>
          </w:p>
        </w:tc>
        <w:tc>
          <w:tcPr>
            <w:tcW w:type="dxa" w:w="336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LockBit Affiliates, Ransomware campaigns against healthcare and manufacturing</w:t>
            </w:r>
          </w:p>
        </w:tc>
        <w:tc>
          <w:tcPr>
            <w:tcW w:type="dxa" w:w="3360"/>
            <w:shd w:fill="E3F2FD" w:val="solid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8"/>
              </w:rPr>
              <w:t>Unusual file encryption activity; VSS deletion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FF5C41"/>
          <w:sz w:val="28"/>
        </w:rPr>
        <w:t>Exploitation Indicators for This Week's CVEs</w:t>
      </w:r>
    </w:p>
    <w:p>
      <w:pPr>
        <w:pStyle w:val="ListBullet"/>
      </w:pPr>
      <w:r>
        <w:rPr>
          <w:b/>
          <w:sz w:val="20"/>
        </w:rPr>
        <w:t>CVE-2026-22907 (Grafana): Malformed LDAP queries in auth logs; unexpected LDAP binds from Grafana to AD</w:t>
      </w:r>
    </w:p>
    <w:p>
      <w:pPr>
        <w:pStyle w:val="ListBullet"/>
      </w:pPr>
      <w:r>
        <w:rPr>
          <w:b/>
          <w:sz w:val="20"/>
        </w:rPr>
        <w:t>CVE-2026-22908 (GLPI): SQL errors in application logs; UNION SELECT or stacked queries from web frontend</w:t>
      </w:r>
    </w:p>
    <w:p>
      <w:pPr>
        <w:pStyle w:val="ListBullet"/>
      </w:pPr>
      <w:r>
        <w:rPr>
          <w:b/>
          <w:sz w:val="20"/>
        </w:rPr>
        <w:t>CVE-2026-0713 (Print Spooler): Spoolsv.exe spawning cmd/powershell; DLL writes to spool\drivers directory</w:t>
      </w:r>
    </w:p>
    <w:p/>
    <w:p>
      <w:pPr>
        <w:pStyle w:val="Heading1"/>
      </w:pPr>
      <w:r>
        <w:rPr>
          <w:rFonts w:ascii="Arial" w:hAnsi="Arial"/>
          <w:color w:val="FF5C41"/>
          <w:sz w:val="28"/>
        </w:rPr>
        <w:t>Recommended Actions</w:t>
      </w:r>
    </w:p>
    <w:p>
      <w:pPr>
        <w:pStyle w:val="ListBullet"/>
      </w:pPr>
      <w:r>
        <w:rPr>
          <w:sz w:val="20"/>
        </w:rPr>
        <w:t>Review Rapid7 scan results for the 12 exposed vulnerabilities; validate asset ownership and remediation timelines</w:t>
      </w:r>
    </w:p>
    <w:p>
      <w:pPr>
        <w:pStyle w:val="ListBullet"/>
      </w:pPr>
      <w:r>
        <w:rPr>
          <w:b/>
          <w:sz w:val="20"/>
        </w:rPr>
        <w:t>Persistent findings: CVE-2021-47757 (6 wks), CVE-2025-98213 (4 wks) require escalation to system owners</w:t>
      </w:r>
    </w:p>
    <w:p>
      <w:pPr>
        <w:pStyle w:val="ListBullet"/>
      </w:pPr>
      <w:r>
        <w:rPr>
          <w:sz w:val="20"/>
        </w:rPr>
        <w:t>Brief development teams on supply chain compromise campaigns targeting software updates</w:t>
      </w:r>
    </w:p>
    <w:p>
      <w:pPr>
        <w:pStyle w:val="ListBullet"/>
      </w:pPr>
      <w:r>
        <w:rPr>
          <w:sz w:val="20"/>
        </w:rPr>
        <w:t>Review LinkedIn connection requests for research and executive staff given social engineering activity</w:t>
      </w:r>
    </w:p>
    <w:p>
      <w:pPr>
        <w:pStyle w:val="ListBullet"/>
      </w:pPr>
      <w:r>
        <w:rPr>
          <w:sz w:val="20"/>
        </w:rPr>
        <w:t>Verify CrowdStrike has latest behavioral IOAs enabled for ransomware detection</w:t>
      </w:r>
    </w:p>
    <w:p>
      <w:pPr>
        <w:pStyle w:val="ListBullet"/>
      </w:pPr>
      <w:r>
        <w:rPr>
          <w:sz w:val="20"/>
        </w:rPr>
        <w:t>Confirm Splunk is receiving logs from Grafana, GLPI, and affected systems</w:t>
      </w:r>
    </w:p>
    <w:p/>
    <w:p>
      <w:pPr>
        <w:jc w:val="center"/>
      </w:pPr>
      <w:r>
        <w:rPr>
          <w:b/>
          <w:sz w:val="20"/>
        </w:rPr>
        <w:t>Questions or suspicious activity: secops@company.com | ServiceNow | cti@company.com</w:t>
      </w:r>
    </w:p>
    <w:p/>
    <w:p>
      <w:pPr>
        <w:jc w:val="center"/>
      </w:pPr>
      <w:r>
        <w:rPr>
          <w:b/>
          <w:color w:val="B0B0B0"/>
          <w:sz w:val="16"/>
        </w:rPr>
        <w:t>Data Sources: Compiled via automated collection from NVD, CrowdStrike Falcon Intelligence, Intel471, Rapid7 InsightVM, and ThreatQ. Analysis performed by AI-assisted threat analysis.</w:t>
      </w:r>
    </w:p>
    <w:sectPr w:rsidR="00FC693F" w:rsidRPr="0006063C" w:rsidSect="00034616">
      <w:background w:color="FFFFFF"/>
      <w:pgPr>
        <w:vAlign w:val="top"/>
      </w:pgPr>
      <w:headerReference w:type="default" r:id="rId9"/>
      <w:pgSz w:w="12240" w:h="15840"/>
      <w:pgMar w:top="1800" w:right="1080" w:bottom="1267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6877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ulletin_bann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68777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40" w:after="0"/>
      <w:jc w:val="right"/>
    </w:pPr>
    <w:r>
      <w:rPr>
        <w:rFonts w:ascii="Consolas" w:hAnsi="Consolas"/>
        <w:color w:val="B0B0B0"/>
        <w:sz w:val="16"/>
      </w:rPr>
      <w:t>CTI-WK-2026-06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