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olor w:val="666666"/>
          <w:sz w:val="18"/>
        </w:rPr>
        <w:t>CTI-QTR-2026-Q2</w:t>
      </w:r>
    </w:p>
    <w:p>
      <w:pPr>
        <w:spacing w:after="0"/>
        <w:jc w:val="center"/>
      </w:pPr>
      <w:r>
        <w:rPr>
          <w:rFonts w:ascii="Arial" w:hAnsi="Arial"/>
          <w:b/>
          <w:color w:val="E65100"/>
          <w:sz w:val="40"/>
        </w:rPr>
        <w:t>Quarterly Strategic Brief</w:t>
      </w:r>
    </w:p>
    <w:p>
      <w:pPr>
        <w:pStyle w:val="Subtitle"/>
        <w:spacing w:after="0"/>
        <w:jc w:val="center"/>
      </w:pPr>
      <w:r>
        <w:rPr>
          <w:rFonts w:ascii="Arial" w:hAnsi="Arial"/>
          <w:color w:val="555555"/>
        </w:rPr>
        <w:t>90-Day Lookback | February 25 to May 26, 2026</w:t>
      </w:r>
    </w:p>
    <w:p/>
    <w:p>
      <w:pPr>
        <w:pStyle w:val="Heading1"/>
        <w:spacing w:after="120"/>
      </w:pPr>
      <w:r>
        <w:rPr>
          <w:rFonts w:ascii="Arial" w:hAnsi="Arial"/>
          <w:color w:val="E65100"/>
          <w:sz w:val="28"/>
        </w:rPr>
        <w:t>Executive Summary</w:t>
      </w:r>
    </w:p>
    <w:p>
      <w:r>
        <w:rPr>
          <w:rFonts w:ascii="Arial" w:hAnsi="Arial"/>
          <w:sz w:val="21"/>
        </w:rPr>
        <w:t>This quarter has seen a sustained and elevated threat environment for organizations in the technology, healthcare, pharmaceutical, life sciences, biotechnology, medical devices, research, education, and manufacturing sectors. The breach landscape is dominated by ransomware and extortion incidents, with initial access brokers facilitating attacks across industries. Nation-state actors from China, Russia, and North Korea remain highly active, targeting intellectual property, research data, and critical infrastructure, which poses significant risks to competitive advantage and operational continuity. The frequency and impact of breaches underscore the need for robust cyber resilience, especially as regulatory scrutiny and compliance obligations continue to intensify. Supply chain and third-party risks are also rising, with attackers increasingly leveraging vendor relationships to gain access to sensitive environments. Peer organizations are experiencing similar challenges, highlighting the importance of industry collaboration and benchmarking to inform investment and resource allocation decisions. The evolving threat landscape demands proactive measures to safeguard business operations, reputation, and regulatory compliance.</w:t>
      </w:r>
    </w:p>
    <w:p/>
    <w:p>
      <w:pPr>
        <w:pStyle w:val="Heading1"/>
        <w:spacing w:before="240" w:after="120"/>
      </w:pPr>
      <w:r>
        <w:rPr>
          <w:rFonts w:ascii="Arial" w:hAnsi="Arial"/>
          <w:color w:val="E65100"/>
          <w:sz w:val="28"/>
        </w:rPr>
        <w:t>Quarterly Risk Assessment</w:t>
      </w:r>
    </w:p>
    <w:tbl>
      <w:tblPr>
        <w:tblW w:type="pct" w:w="5000"/>
        <w:jc w:val="left"/>
        <w:tblLook w:firstColumn="1" w:firstRow="1" w:lastColumn="0" w:lastRow="0" w:noHBand="0" w:noVBand="1" w:val="04A0"/>
      </w:tblPr>
      <w:tblGrid>
        <w:gridCol w:w="2520"/>
        <w:gridCol w:w="2520"/>
        <w:gridCol w:w="2520"/>
        <w:gridCol w:w="2520"/>
      </w:tblGrid>
      <w:tr>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Nation-State Espionage</w:t>
            </w:r>
          </w:p>
          <w:p>
            <w:pPr>
              <w:spacing w:before="0" w:after="0"/>
              <w:jc w:val="center"/>
            </w:pPr>
            <w:r>
              <w:rPr>
                <w:rFonts w:ascii="Arial" w:hAnsi="Arial"/>
                <w:b/>
                <w:color w:val="F47F7D"/>
                <w:sz w:val="28"/>
              </w:rPr>
              <w:t>HIGH</w:t>
            </w:r>
          </w:p>
          <w:p>
            <w:pPr>
              <w:spacing w:before="0" w:after="0"/>
              <w:jc w:val="center"/>
            </w:pPr>
            <w:r>
              <w:rPr>
                <w:rFonts w:ascii="Arial" w:hAnsi="Arial"/>
                <w:color w:val="333333"/>
                <w:sz w:val="16"/>
              </w:rPr>
              <w:t>vs Q1: Unchanged</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Ransomware &amp; Extortion</w:t>
            </w:r>
          </w:p>
          <w:p>
            <w:pPr>
              <w:spacing w:before="0" w:after="0"/>
              <w:jc w:val="center"/>
            </w:pPr>
            <w:r>
              <w:rPr>
                <w:rFonts w:ascii="Arial" w:hAnsi="Arial"/>
                <w:b/>
                <w:color w:val="F47F7D"/>
                <w:sz w:val="28"/>
              </w:rPr>
              <w:t>HIGH</w:t>
            </w:r>
          </w:p>
          <w:p>
            <w:pPr>
              <w:spacing w:before="0" w:after="0"/>
              <w:jc w:val="center"/>
            </w:pPr>
            <w:r>
              <w:rPr>
                <w:rFonts w:ascii="Arial" w:hAnsi="Arial"/>
                <w:color w:val="F47F7D"/>
                <w:sz w:val="16"/>
              </w:rPr>
              <w:t>vs Q1: +27%</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Supply Chain Compromise</w:t>
            </w:r>
          </w:p>
          <w:p>
            <w:pPr>
              <w:spacing w:before="0" w:after="0"/>
              <w:jc w:val="center"/>
            </w:pPr>
            <w:r>
              <w:rPr>
                <w:rFonts w:ascii="Arial" w:hAnsi="Arial"/>
                <w:b/>
                <w:color w:val="FFA500"/>
                <w:sz w:val="28"/>
              </w:rPr>
              <w:t>MEDIUM</w:t>
            </w:r>
          </w:p>
          <w:p>
            <w:pPr>
              <w:spacing w:before="0" w:after="0"/>
              <w:jc w:val="center"/>
            </w:pPr>
            <w:r>
              <w:rPr>
                <w:rFonts w:ascii="Arial" w:hAnsi="Arial"/>
                <w:color w:val="333333"/>
                <w:sz w:val="16"/>
              </w:rPr>
              <w:t>vs Q1: Unchanged</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Insider Threat</w:t>
            </w:r>
          </w:p>
          <w:p>
            <w:pPr>
              <w:spacing w:before="0" w:after="0"/>
              <w:jc w:val="center"/>
            </w:pPr>
            <w:r>
              <w:rPr>
                <w:rFonts w:ascii="Arial" w:hAnsi="Arial"/>
                <w:b/>
                <w:color w:val="FFA500"/>
                <w:sz w:val="28"/>
              </w:rPr>
              <w:t>MEDIUM</w:t>
            </w:r>
          </w:p>
          <w:p>
            <w:pPr>
              <w:spacing w:before="0" w:after="0"/>
              <w:jc w:val="center"/>
            </w:pPr>
            <w:r>
              <w:rPr>
                <w:rFonts w:ascii="Arial" w:hAnsi="Arial"/>
                <w:color w:val="333333"/>
                <w:sz w:val="16"/>
              </w:rPr>
              <w:t>vs Q1: Unchanged</w:t>
            </w:r>
          </w:p>
        </w:tc>
      </w:tr>
    </w:tbl>
    <w:p/>
    <w:p>
      <w:pPr>
        <w:pStyle w:val="Heading1"/>
        <w:spacing w:before="240" w:after="120"/>
      </w:pPr>
      <w:r>
        <w:rPr>
          <w:rFonts w:ascii="Arial" w:hAnsi="Arial"/>
          <w:color w:val="E65100"/>
          <w:sz w:val="28"/>
        </w:rPr>
        <w:t>Industry Breach Landscape</w:t>
      </w:r>
    </w:p>
    <w:p>
      <w:r>
        <w:rPr>
          <w:rFonts w:ascii="Arial" w:hAnsi="Arial"/>
          <w:i/>
          <w:color w:val="666666"/>
          <w:sz w:val="18"/>
        </w:rPr>
        <w:t>Publicly disclosed security incidents affecting life sciences, pharmaceutical, biotechnology, healthcare, and advanced manufacturing organizations during Q2 2026.</w:t>
      </w:r>
    </w:p>
    <w:p/>
    <w:tbl>
      <w:tblPr>
        <w:tblW w:type="pct" w:w="5000"/>
        <w:jc w:val="left"/>
        <w:tblLook w:firstColumn="1" w:firstRow="1" w:lastColumn="0" w:lastRow="0" w:noHBand="0" w:noVBand="1" w:val="04A0"/>
      </w:tblPr>
      <w:tblGrid>
        <w:gridCol w:w="2520"/>
        <w:gridCol w:w="2520"/>
        <w:gridCol w:w="2520"/>
        <w:gridCol w:w="2520"/>
      </w:tblGrid>
      <w:tr>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20</w:t>
            </w:r>
          </w:p>
          <w:p>
            <w:pPr>
              <w:spacing w:before="0" w:after="0"/>
              <w:jc w:val="center"/>
            </w:pPr>
            <w:r>
              <w:rPr>
                <w:rFonts w:ascii="Arial" w:hAnsi="Arial"/>
                <w:b/>
                <w:color w:val="F0F0F0"/>
                <w:sz w:val="17"/>
              </w:rPr>
              <w:t>Total Incidents</w:t>
            </w:r>
          </w:p>
          <w:p>
            <w:pPr>
              <w:spacing w:before="0" w:after="0"/>
              <w:jc w:val="center"/>
            </w:pPr>
            <w:r>
              <w:rPr>
                <w:rFonts w:ascii="Arial" w:hAnsi="Arial"/>
                <w:color w:val="F0F0F0"/>
                <w:sz w:val="14"/>
              </w:rPr>
              <w:t xml:space="preserve">Q1 2026: 16 </w:t>
            </w:r>
            <w:r>
              <w:rPr>
                <w:rFonts w:ascii="Arial" w:hAnsi="Arial"/>
                <w:color w:val="E65100"/>
                <w:sz w:val="14"/>
              </w:rPr>
              <w:t>+25%</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$120M</w:t>
            </w:r>
          </w:p>
          <w:p>
            <w:pPr>
              <w:spacing w:before="0" w:after="0"/>
              <w:jc w:val="center"/>
            </w:pPr>
            <w:r>
              <w:rPr>
                <w:rFonts w:ascii="Arial" w:hAnsi="Arial"/>
                <w:b/>
                <w:color w:val="F0F0F0"/>
                <w:sz w:val="17"/>
              </w:rPr>
              <w:t>Est. Total Impact</w:t>
            </w:r>
          </w:p>
          <w:p>
            <w:pPr>
              <w:spacing w:before="0" w:after="0"/>
              <w:jc w:val="center"/>
            </w:pPr>
            <w:r>
              <w:rPr>
                <w:rFonts w:ascii="Arial" w:hAnsi="Arial"/>
                <w:color w:val="F0F0F0"/>
                <w:sz w:val="14"/>
              </w:rPr>
              <w:t xml:space="preserve">Q1 2026: $95M </w:t>
            </w:r>
            <w:r>
              <w:rPr>
                <w:rFonts w:ascii="Arial" w:hAnsi="Arial"/>
                <w:color w:val="E65100"/>
                <w:sz w:val="14"/>
              </w:rPr>
              <w:t>+26%</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14</w:t>
            </w:r>
          </w:p>
          <w:p>
            <w:pPr>
              <w:spacing w:before="0" w:after="0"/>
              <w:jc w:val="center"/>
            </w:pPr>
            <w:r>
              <w:rPr>
                <w:rFonts w:ascii="Arial" w:hAnsi="Arial"/>
                <w:b/>
                <w:color w:val="F0F0F0"/>
                <w:sz w:val="17"/>
              </w:rPr>
              <w:t>Ransomware</w:t>
            </w:r>
          </w:p>
          <w:p>
            <w:pPr>
              <w:spacing w:before="0" w:after="0"/>
              <w:jc w:val="center"/>
            </w:pPr>
            <w:r>
              <w:rPr>
                <w:rFonts w:ascii="Arial" w:hAnsi="Arial"/>
                <w:color w:val="F0F0F0"/>
                <w:sz w:val="14"/>
              </w:rPr>
              <w:t xml:space="preserve">Q1 2026: 11 </w:t>
            </w:r>
            <w:r>
              <w:rPr>
                <w:rFonts w:ascii="Arial" w:hAnsi="Arial"/>
                <w:color w:val="E65100"/>
                <w:sz w:val="14"/>
              </w:rPr>
              <w:t>+27%</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32M</w:t>
            </w:r>
          </w:p>
          <w:p>
            <w:pPr>
              <w:spacing w:before="0" w:after="0"/>
              <w:jc w:val="center"/>
            </w:pPr>
            <w:r>
              <w:rPr>
                <w:rFonts w:ascii="Arial" w:hAnsi="Arial"/>
                <w:b/>
                <w:color w:val="F0F0F0"/>
                <w:sz w:val="17"/>
              </w:rPr>
              <w:t>Records Exposed</w:t>
            </w:r>
          </w:p>
          <w:p>
            <w:pPr>
              <w:spacing w:before="0" w:after="0"/>
              <w:jc w:val="center"/>
            </w:pPr>
            <w:r>
              <w:rPr>
                <w:rFonts w:ascii="Arial" w:hAnsi="Arial"/>
                <w:color w:val="F0F0F0"/>
                <w:sz w:val="14"/>
              </w:rPr>
              <w:t xml:space="preserve">Q1 2026: 25M </w:t>
            </w:r>
            <w:r>
              <w:rPr>
                <w:rFonts w:ascii="Arial" w:hAnsi="Arial"/>
                <w:color w:val="E65100"/>
                <w:sz w:val="14"/>
              </w:rPr>
              <w:t>+28%</w:t>
            </w:r>
          </w:p>
        </w:tc>
      </w:tr>
    </w:tbl>
    <w:p/>
    <w:p>
      <w:pPr>
        <w:pStyle w:val="Heading2"/>
        <w:spacing w:after="120"/>
      </w:pPr>
      <w:r>
        <w:rPr>
          <w:rFonts w:ascii="Arial" w:hAnsi="Arial"/>
          <w:color w:val="000000"/>
          <w:sz w:val="24"/>
        </w:rPr>
        <w:t>Incidents by Type</w:t>
      </w:r>
    </w:p>
    <w:tbl>
      <w:tblPr>
        <w:tblW w:type="auto" w:w="0"/>
        <w:tblLook w:firstColumn="1" w:firstRow="1" w:lastColumn="0" w:lastRow="0" w:noHBand="0" w:noVBand="1" w:val="04A0"/>
      </w:tblPr>
      <w:tblGrid>
        <w:gridCol w:w="2160"/>
        <w:gridCol w:w="720"/>
        <w:gridCol w:w="720"/>
        <w:gridCol w:w="6480"/>
      </w:tblGrid>
      <w:tr>
        <w:tc>
          <w:tcPr>
            <w:tcW w:type="dxa" w:w="2520"/>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Incident Type</w:t>
            </w:r>
          </w:p>
        </w:tc>
        <w:tc>
          <w:tcPr>
            <w:tcW w:type="dxa" w:w="2520"/>
            <w:vAlign w:val="center"/>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Q1 2026</w:t>
            </w:r>
          </w:p>
        </w:tc>
        <w:tc>
          <w:tcPr>
            <w:tcW w:type="dxa" w:w="2520"/>
            <w:vAlign w:val="center"/>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Q4 2025</w:t>
            </w:r>
          </w:p>
        </w:tc>
        <w:tc>
          <w:tcPr>
            <w:tcW w:type="dxa" w:w="2520"/>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Notable Example</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Ransomware</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14</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11</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Multiple breaches involving initial access brokers resulted in ransomware deployment and extortion demands, impacting operations and exposing sensitive data.</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Extortion</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6</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5</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Database dumps and extortion threats were reported in several incidents, with attackers leveraging stolen credentials and threatening public disclosure.</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Supply Chain</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4</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3</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Third-party vendor compromise led to unauthorized access to manufacturing and healthcare systems, affecting downstream partners.</w:t>
            </w:r>
          </w:p>
        </w:tc>
      </w:tr>
    </w:tbl>
    <w:p/>
    <w:p>
      <w:r>
        <w:rPr>
          <w:rFonts w:ascii="Arial" w:hAnsi="Arial"/>
          <w:b/>
          <w:color w:val="008AC9"/>
          <w:sz w:val="20"/>
        </w:rPr>
        <w:t xml:space="preserve">Common factors across incidents: </w:t>
      </w:r>
      <w:r>
        <w:rPr>
          <w:rFonts w:ascii="Arial" w:hAnsi="Arial"/>
          <w:b w:val="0"/>
          <w:sz w:val="20"/>
        </w:rPr>
        <w:t>Exploitation of unpatched systems (37%), compromised credentials (29%), third-party/vendor access (21%), phishing and social engineering (13%)</w:t>
      </w:r>
    </w:p>
    <w:p>
      <w:pPr>
        <w:pStyle w:val="Heading1"/>
        <w:spacing w:before="240" w:after="120"/>
      </w:pPr>
      <w:r>
        <w:rPr>
          <w:rFonts w:ascii="Arial" w:hAnsi="Arial"/>
          <w:color w:val="E65100"/>
          <w:sz w:val="28"/>
        </w:rPr>
        <w:t>Geopolitical Threat Landscape</w:t>
      </w:r>
    </w:p>
    <w:p>
      <w:r>
        <w:rPr>
          <w:rFonts w:ascii="Arial" w:hAnsi="Arial"/>
          <w:i/>
          <w:color w:val="666666"/>
          <w:sz w:val="18"/>
        </w:rPr>
        <w:t>Nation-state cyber activity with implications for the life sciences and genomics sector during Q2 2026.</w:t>
      </w:r>
    </w:p>
    <w:p/>
    <w:p>
      <w:pPr>
        <w:pStyle w:val="Heading2"/>
        <w:spacing w:after="120"/>
      </w:pPr>
      <w:r>
        <w:rPr>
          <w:rFonts w:ascii="Arial" w:hAnsi="Arial"/>
          <w:b/>
          <w:color w:val="000000"/>
          <w:sz w:val="24"/>
        </w:rPr>
        <w:t>China</w:t>
      </w:r>
    </w:p>
    <w:p>
      <w:r>
        <w:rPr>
          <w:rFonts w:ascii="Arial" w:hAnsi="Arial"/>
          <w:b/>
          <w:color w:val="008AC9"/>
          <w:sz w:val="21"/>
        </w:rPr>
        <w:t xml:space="preserve">Strategic Context: </w:t>
      </w:r>
      <w:r>
        <w:rPr>
          <w:rFonts w:ascii="Arial" w:hAnsi="Arial"/>
          <w:b w:val="0"/>
          <w:sz w:val="21"/>
        </w:rPr>
        <w:t>China continues to prioritize the acquisition of intellectual property and research data from the biotech and genomics sectors, viewing these as critical to national competitiveness and scientific advancement.</w:t>
      </w:r>
    </w:p>
    <w:p>
      <w:pPr>
        <w:spacing w:before="0" w:after="60"/>
      </w:pPr>
    </w:p>
    <w:p>
      <w:r>
        <w:rPr>
          <w:rFonts w:ascii="Arial" w:hAnsi="Arial"/>
          <w:b/>
          <w:color w:val="008AC9"/>
          <w:sz w:val="21"/>
        </w:rPr>
        <w:t xml:space="preserve">Q2 Activity: </w:t>
      </w:r>
      <w:r>
        <w:rPr>
          <w:rFonts w:ascii="Arial" w:hAnsi="Arial"/>
          <w:b w:val="0"/>
          <w:sz w:val="21"/>
        </w:rPr>
        <w:t>This quarter, China-linked actors targeted pharmaceutical, healthcare, manufacturing, and technology organizations, focusing on research, supply chain, and operational data. Notable activity includes CASCADE PANDA and VAULT PANDA targeting pharmaceutical and academic sectors.</w:t>
      </w:r>
    </w:p>
    <w:p>
      <w:pPr>
        <w:spacing w:before="0" w:after="60"/>
      </w:pPr>
    </w:p>
    <w:p>
      <w:r>
        <w:rPr>
          <w:rFonts w:ascii="Arial" w:hAnsi="Arial"/>
          <w:b/>
          <w:color w:val="008AC9"/>
          <w:sz w:val="21"/>
        </w:rPr>
        <w:t xml:space="preserve">Business Implications: </w:t>
      </w:r>
      <w:r>
        <w:rPr>
          <w:rFonts w:ascii="Arial" w:hAnsi="Arial"/>
          <w:b w:val="0"/>
          <w:sz w:val="21"/>
        </w:rPr>
        <w:t>The risk of intellectual property theft and disruption to R&amp;D pipelines is significant, potentially undermining competitive advantage and triggering regulatory investigations. Organizations must be vigilant in protecting proprietary data and research collaborations.</w:t>
      </w:r>
    </w:p>
    <w:p>
      <w:pPr>
        <w:spacing w:before="0" w:after="240"/>
        <w:pBdr>
          <w:bottom w:val="single" w:sz="6" w:space="1" w:color="CCCCCC"/>
        </w:pBdr>
      </w:pPr>
    </w:p>
    <w:p>
      <w:pPr>
        <w:pStyle w:val="Heading2"/>
        <w:spacing w:after="120"/>
      </w:pPr>
      <w:r>
        <w:rPr>
          <w:rFonts w:ascii="Arial" w:hAnsi="Arial"/>
          <w:b/>
          <w:color w:val="000000"/>
          <w:sz w:val="24"/>
        </w:rPr>
        <w:t>Russia</w:t>
      </w:r>
    </w:p>
    <w:p>
      <w:r>
        <w:rPr>
          <w:rFonts w:ascii="Arial" w:hAnsi="Arial"/>
          <w:b/>
          <w:color w:val="008AC9"/>
          <w:sz w:val="21"/>
        </w:rPr>
        <w:t xml:space="preserve">Strategic Context: </w:t>
      </w:r>
      <w:r>
        <w:rPr>
          <w:rFonts w:ascii="Arial" w:hAnsi="Arial"/>
          <w:b w:val="0"/>
          <w:sz w:val="21"/>
        </w:rPr>
        <w:t>Russia maintains a robust ransomware and cybercrime ecosystem, with state-tolerated actors targeting critical infrastructure and commercial entities for financial gain and strategic leverage.</w:t>
      </w:r>
    </w:p>
    <w:p>
      <w:pPr>
        <w:spacing w:before="0" w:after="60"/>
      </w:pPr>
    </w:p>
    <w:p>
      <w:r>
        <w:rPr>
          <w:rFonts w:ascii="Arial" w:hAnsi="Arial"/>
          <w:b/>
          <w:color w:val="008AC9"/>
          <w:sz w:val="21"/>
        </w:rPr>
        <w:t xml:space="preserve">Q2 Activity: </w:t>
      </w:r>
      <w:r>
        <w:rPr>
          <w:rFonts w:ascii="Arial" w:hAnsi="Arial"/>
          <w:b w:val="0"/>
          <w:sz w:val="21"/>
        </w:rPr>
        <w:t>Russian-linked actors such as TRAVELING SPIDER, BITWISE SPIDER, and ROYAL SPIDER were active across healthcare, manufacturing, and technology sectors, with a marked increase in ransomware and extortion campaigns.</w:t>
      </w:r>
    </w:p>
    <w:p>
      <w:pPr>
        <w:spacing w:before="0" w:after="60"/>
      </w:pPr>
    </w:p>
    <w:p>
      <w:r>
        <w:rPr>
          <w:rFonts w:ascii="Arial" w:hAnsi="Arial"/>
          <w:b/>
          <w:color w:val="008AC9"/>
          <w:sz w:val="21"/>
        </w:rPr>
        <w:t xml:space="preserve">Business Implications: </w:t>
      </w:r>
      <w:r>
        <w:rPr>
          <w:rFonts w:ascii="Arial" w:hAnsi="Arial"/>
          <w:b w:val="0"/>
          <w:sz w:val="21"/>
        </w:rPr>
        <w:t>Operational disruptions, financial losses, and reputational damage are key risks. Regulatory bodies are increasingly scrutinizing ransomware preparedness and incident response, raising compliance stakes for affected organizations.</w:t>
      </w:r>
    </w:p>
    <w:p>
      <w:pPr>
        <w:spacing w:before="0" w:after="240"/>
        <w:pBdr>
          <w:bottom w:val="single" w:sz="6" w:space="1" w:color="CCCCCC"/>
        </w:pBdr>
      </w:pPr>
    </w:p>
    <w:p>
      <w:pPr>
        <w:pStyle w:val="Heading2"/>
        <w:spacing w:after="120"/>
      </w:pPr>
      <w:r>
        <w:rPr>
          <w:rFonts w:ascii="Arial" w:hAnsi="Arial"/>
          <w:b/>
          <w:color w:val="000000"/>
          <w:sz w:val="24"/>
        </w:rPr>
        <w:t>North Korea</w:t>
      </w:r>
    </w:p>
    <w:p>
      <w:r>
        <w:rPr>
          <w:rFonts w:ascii="Arial" w:hAnsi="Arial"/>
          <w:b/>
          <w:color w:val="008AC9"/>
          <w:sz w:val="21"/>
        </w:rPr>
        <w:t xml:space="preserve">Strategic Context: </w:t>
      </w:r>
      <w:r>
        <w:rPr>
          <w:rFonts w:ascii="Arial" w:hAnsi="Arial"/>
          <w:b w:val="0"/>
          <w:sz w:val="21"/>
        </w:rPr>
        <w:t>North Korea leverages cyber operations for both financial gain and intelligence collection, targeting technology, pharmaceutical, and manufacturing sectors to support national objectives.</w:t>
      </w:r>
    </w:p>
    <w:p>
      <w:pPr>
        <w:spacing w:before="0" w:after="60"/>
      </w:pPr>
    </w:p>
    <w:p>
      <w:r>
        <w:rPr>
          <w:rFonts w:ascii="Arial" w:hAnsi="Arial"/>
          <w:b/>
          <w:color w:val="008AC9"/>
          <w:sz w:val="21"/>
        </w:rPr>
        <w:t xml:space="preserve">Q2 Activity: </w:t>
      </w:r>
      <w:r>
        <w:rPr>
          <w:rFonts w:ascii="Arial" w:hAnsi="Arial"/>
          <w:b w:val="0"/>
          <w:sz w:val="21"/>
        </w:rPr>
        <w:t>North Korean actors such as FAMOUS CHOLLIMA and STARDUST CHOLLIMA targeted pharmaceutical, healthcare, and manufacturing organizations, focusing on both financial theft and data exfiltration.</w:t>
      </w:r>
    </w:p>
    <w:p>
      <w:pPr>
        <w:spacing w:before="0" w:after="60"/>
      </w:pPr>
    </w:p>
    <w:p>
      <w:r>
        <w:rPr>
          <w:rFonts w:ascii="Arial" w:hAnsi="Arial"/>
          <w:b/>
          <w:color w:val="008AC9"/>
          <w:sz w:val="21"/>
        </w:rPr>
        <w:t xml:space="preserve">Business Implications: </w:t>
      </w:r>
      <w:r>
        <w:rPr>
          <w:rFonts w:ascii="Arial" w:hAnsi="Arial"/>
          <w:b w:val="0"/>
          <w:sz w:val="21"/>
        </w:rPr>
        <w:t>Risks include loss of sensitive data, disruption to business operations, and increased regulatory attention. North Korean activity also underscores the need for enhanced monitoring of financial transactions and intellectual property protection.</w:t>
      </w:r>
    </w:p>
    <w:p>
      <w:pPr>
        <w:spacing w:before="0" w:after="240"/>
        <w:pBdr>
          <w:bottom w:val="single" w:sz="6" w:space="1" w:color="CCCCCC"/>
        </w:pBdr>
      </w:pPr>
    </w:p>
    <w:p>
      <w:pPr>
        <w:pStyle w:val="Heading1"/>
        <w:spacing w:before="240" w:after="120"/>
      </w:pPr>
      <w:r>
        <w:rPr>
          <w:rFonts w:ascii="Arial" w:hAnsi="Arial"/>
          <w:color w:val="E65100"/>
          <w:sz w:val="28"/>
        </w:rPr>
        <w:t>Looking Ahead: Q3 2026</w:t>
      </w:r>
    </w:p>
    <w:p>
      <w:r>
        <w:rPr>
          <w:rFonts w:ascii="Arial" w:hAnsi="Arial"/>
          <w:b/>
          <w:color w:val="008AC9"/>
          <w:sz w:val="21"/>
        </w:rPr>
        <w:t xml:space="preserve">Threat Outlook: </w:t>
      </w:r>
      <w:r>
        <w:rPr>
          <w:rFonts w:ascii="Arial" w:hAnsi="Arial"/>
          <w:b w:val="0"/>
          <w:sz w:val="21"/>
        </w:rPr>
        <w:t>We anticipate continued escalation in ransomware and extortion attacks, with nation-state actors intensifying their focus on research and intellectual property. Supply chain vulnerabilities will remain a key target, especially as organizations expand digital partnerships and vendor ecosystems.</w:t>
      </w:r>
    </w:p>
    <w:p>
      <w:pPr>
        <w:spacing w:before="0" w:after="60"/>
      </w:pPr>
    </w:p>
    <w:p>
      <w:r>
        <w:rPr>
          <w:rFonts w:ascii="Arial" w:hAnsi="Arial"/>
          <w:b/>
          <w:color w:val="008AC9"/>
          <w:sz w:val="21"/>
        </w:rPr>
        <w:t xml:space="preserve">Planned Initiatives: </w:t>
      </w:r>
      <w:r>
        <w:rPr>
          <w:rFonts w:ascii="Arial" w:hAnsi="Arial"/>
          <w:b w:val="0"/>
          <w:sz w:val="21"/>
        </w:rPr>
        <w:t>Recommended initiatives include strengthening third-party risk management, enhancing incident response capabilities, investing in advanced threat detection, and increasing executive and board-level awareness of cyber risks.</w:t>
      </w:r>
    </w:p>
    <w:p>
      <w:pPr>
        <w:spacing w:before="0" w:after="60"/>
      </w:pPr>
    </w:p>
    <w:p>
      <w:r>
        <w:rPr>
          <w:rFonts w:ascii="Arial" w:hAnsi="Arial"/>
          <w:b/>
          <w:color w:val="008AC9"/>
          <w:sz w:val="21"/>
        </w:rPr>
        <w:t xml:space="preserve">Watch Items: </w:t>
      </w:r>
      <w:r>
        <w:rPr>
          <w:rFonts w:ascii="Arial" w:hAnsi="Arial"/>
          <w:b w:val="0"/>
          <w:sz w:val="21"/>
        </w:rPr>
        <w:t>Monitor for new ransomware variants, increased activity from China and Russia-linked actors, and supply chain breaches involving critical vendors. Pay close attention to regulatory developments and peer organization incident trends.</w:t>
      </w:r>
    </w:p>
    <w:p>
      <w:pPr>
        <w:pStyle w:val="Heading1"/>
        <w:spacing w:before="240" w:after="120"/>
      </w:pPr>
      <w:r>
        <w:rPr>
          <w:rFonts w:ascii="Arial" w:hAnsi="Arial"/>
          <w:color w:val="E65100"/>
          <w:sz w:val="28"/>
        </w:rPr>
        <w:t>Recommendations for Leadership</w:t>
      </w:r>
    </w:p>
    <w:p>
      <w:pPr>
        <w:pStyle w:val="ListBullet"/>
        <w:spacing w:after="120"/>
      </w:pPr>
      <w:r>
        <w:rPr>
          <w:rFonts w:ascii="Arial" w:hAnsi="Arial"/>
          <w:b/>
          <w:sz w:val="21"/>
        </w:rPr>
        <w:t>Executive AwarenessIncrease leadership engagement in cyber risk discussions and ensure regular briefings on evolving threat landscape.</w:t>
      </w:r>
    </w:p>
    <w:p>
      <w:pPr>
        <w:pStyle w:val="ListBullet"/>
        <w:spacing w:after="120"/>
      </w:pPr>
      <w:r>
        <w:rPr>
          <w:rFonts w:ascii="Arial" w:hAnsi="Arial"/>
          <w:b/>
          <w:sz w:val="21"/>
        </w:rPr>
        <w:t>Vendor Risk ReviewConduct comprehensive reviews of third-party and supply chain risk, including contractual security obligations and incident response plans.</w:t>
      </w:r>
    </w:p>
    <w:p>
      <w:pPr>
        <w:pStyle w:val="ListBullet"/>
        <w:spacing w:after="120"/>
      </w:pPr>
      <w:r>
        <w:rPr>
          <w:rFonts w:ascii="Arial" w:hAnsi="Arial"/>
          <w:b/>
          <w:sz w:val="21"/>
        </w:rPr>
        <w:t>Manufacturing SecurityPrioritize investment in operational technology security controls and monitoring to prevent disruption and data loss.</w:t>
      </w:r>
    </w:p>
    <w:p>
      <w:pPr>
        <w:pStyle w:val="ListBullet"/>
        <w:spacing w:after="120"/>
      </w:pPr>
      <w:r>
        <w:rPr>
          <w:rFonts w:ascii="Arial" w:hAnsi="Arial"/>
          <w:b/>
          <w:sz w:val="21"/>
        </w:rPr>
        <w:t>Incident ResponseEnhance incident response readiness with updated playbooks, tabletop exercises, and cross-functional coordination.</w:t>
      </w:r>
    </w:p>
    <w:p>
      <w:pPr>
        <w:pStyle w:val="ListBullet"/>
        <w:spacing w:after="120"/>
      </w:pPr>
      <w:r>
        <w:rPr>
          <w:rFonts w:ascii="Arial" w:hAnsi="Arial"/>
          <w:b/>
          <w:sz w:val="21"/>
        </w:rPr>
        <w:t>Board ReportingLeverage threat intelligence to inform board-level reporting and support compliance with emerging regulatory requirements.</w:t>
      </w:r>
    </w:p>
    <w:p/>
    <w:p>
      <w:pPr>
        <w:pStyle w:val="Heading1"/>
      </w:pPr>
      <w:r>
        <w:rPr>
          <w:rFonts w:ascii="Arial" w:hAnsi="Arial"/>
          <w:color w:val="E65100"/>
          <w:sz w:val="28"/>
        </w:rPr>
        <w:t>Sources</w:t>
      </w:r>
    </w:p>
    <w:p>
      <w:pPr>
        <w:pStyle w:val="ListBullet"/>
      </w:pPr>
      <w:r>
        <w:rPr>
          <w:rFonts w:ascii="Arial" w:hAnsi="Arial"/>
          <w:b/>
          <w:sz w:val="20"/>
        </w:rPr>
        <w:t>CrowdStrike Falcon Intelligence</w:t>
      </w:r>
      <w:r>
        <w:rPr>
          <w:rFonts w:ascii="Arial" w:hAnsi="Arial"/>
          <w:color w:val="666666"/>
          <w:sz w:val="20"/>
        </w:rPr>
        <w:t xml:space="preserve"> — Threat actor profiles, APT campaigns, and adversary tracking</w:t>
      </w:r>
    </w:p>
    <w:p>
      <w:pPr>
        <w:pStyle w:val="ListBullet"/>
      </w:pPr>
      <w:r>
        <w:rPr>
          <w:rFonts w:ascii="Arial" w:hAnsi="Arial"/>
          <w:b/>
          <w:sz w:val="20"/>
        </w:rPr>
        <w:t>Intel471 Titan</w:t>
      </w:r>
      <w:r>
        <w:rPr>
          <w:rFonts w:ascii="Arial" w:hAnsi="Arial"/>
          <w:color w:val="666666"/>
          <w:sz w:val="20"/>
        </w:rPr>
        <w:t xml:space="preserve"> — Underground threat intelligence, breach reporting, and actor monitoring</w:t>
      </w:r>
    </w:p>
    <w:p>
      <w:pPr>
        <w:pStyle w:val="ListBullet"/>
      </w:pPr>
      <w:r>
        <w:rPr>
          <w:rFonts w:ascii="Arial" w:hAnsi="Arial"/>
          <w:b/>
          <w:sz w:val="20"/>
        </w:rPr>
        <w:t>NIST National Vulnerability Database (NVD)</w:t>
      </w:r>
      <w:r>
        <w:rPr>
          <w:rFonts w:ascii="Arial" w:hAnsi="Arial"/>
          <w:color w:val="666666"/>
          <w:sz w:val="20"/>
        </w:rPr>
        <w:t xml:space="preserve">  https://nvd.nist.gov/</w:t>
      </w:r>
    </w:p>
    <w:p>
      <w:pPr>
        <w:pStyle w:val="ListBullet"/>
      </w:pPr>
      <w:r>
        <w:rPr>
          <w:rFonts w:ascii="Arial" w:hAnsi="Arial"/>
          <w:b/>
          <w:sz w:val="20"/>
        </w:rPr>
        <w:t>CISA Known Exploited Vulnerabilities (KEV) Catalog</w:t>
      </w:r>
      <w:r>
        <w:rPr>
          <w:rFonts w:ascii="Arial" w:hAnsi="Arial"/>
          <w:color w:val="666666"/>
          <w:sz w:val="20"/>
        </w:rPr>
        <w:t xml:space="preserve">  https://www.cisa.gov/known-exploited-vulnerabilities-catalog</w:t>
      </w:r>
    </w:p>
    <w:p>
      <w:pPr>
        <w:pStyle w:val="ListBullet"/>
      </w:pPr>
      <w:r>
        <w:rPr>
          <w:rFonts w:ascii="Arial" w:hAnsi="Arial"/>
          <w:b/>
          <w:sz w:val="20"/>
        </w:rPr>
        <w:t>HHS Breach Portal</w:t>
      </w:r>
      <w:r>
        <w:rPr>
          <w:rFonts w:ascii="Arial" w:hAnsi="Arial"/>
          <w:color w:val="666666"/>
          <w:sz w:val="20"/>
        </w:rPr>
        <w:t xml:space="preserve">  https://ocrportal.hhs.gov/ocr/breach/breach_report.jsf</w:t>
      </w:r>
    </w:p>
    <w:p>
      <w:pPr>
        <w:pStyle w:val="ListBullet"/>
      </w:pPr>
      <w:r>
        <w:rPr>
          <w:rFonts w:ascii="Arial" w:hAnsi="Arial"/>
          <w:b/>
          <w:sz w:val="20"/>
        </w:rPr>
        <w:t>FBI Internet Crime Complaint Center (IC3)</w:t>
      </w:r>
      <w:r>
        <w:rPr>
          <w:rFonts w:ascii="Arial" w:hAnsi="Arial"/>
          <w:color w:val="666666"/>
          <w:sz w:val="20"/>
        </w:rPr>
        <w:t xml:space="preserve">  https://www.ic3.gov/</w:t>
      </w:r>
    </w:p>
    <w:p>
      <w:pPr>
        <w:pStyle w:val="ListBullet"/>
      </w:pPr>
      <w:r>
        <w:rPr>
          <w:rFonts w:ascii="Arial" w:hAnsi="Arial"/>
          <w:b/>
          <w:sz w:val="20"/>
        </w:rPr>
        <w:t>SEC EDGAR Filings</w:t>
      </w:r>
      <w:r>
        <w:rPr>
          <w:rFonts w:ascii="Arial" w:hAnsi="Arial"/>
          <w:color w:val="666666"/>
          <w:sz w:val="20"/>
        </w:rPr>
        <w:t xml:space="preserve">  https://www.sec.gov/cgi-bin/browse-edgar</w:t>
      </w:r>
    </w:p>
    <w:p>
      <w:pPr>
        <w:pStyle w:val="ListBullet"/>
      </w:pPr>
      <w:r>
        <w:rPr>
          <w:rFonts w:ascii="Arial" w:hAnsi="Arial"/>
          <w:b/>
          <w:sz w:val="20"/>
        </w:rPr>
        <w:t>MITRE ATT&amp;CK</w:t>
      </w:r>
      <w:r>
        <w:rPr>
          <w:rFonts w:ascii="Arial" w:hAnsi="Arial"/>
          <w:color w:val="666666"/>
          <w:sz w:val="20"/>
        </w:rPr>
        <w:t xml:space="preserve">  https://attack.mitre.org/</w:t>
      </w:r>
    </w:p>
    <w:p>
      <w:pPr>
        <w:pStyle w:val="ListBullet"/>
      </w:pPr>
      <w:r>
        <w:rPr>
          <w:rFonts w:ascii="Arial" w:hAnsi="Arial"/>
          <w:b/>
          <w:sz w:val="20"/>
        </w:rPr>
        <w:t>Open Source Intelligence (OSINT)</w:t>
      </w:r>
      <w:r>
        <w:rPr>
          <w:rFonts w:ascii="Arial" w:hAnsi="Arial"/>
          <w:color w:val="666666"/>
          <w:sz w:val="20"/>
        </w:rPr>
        <w:t xml:space="preserve"> — Industry publications, state AG notifications, and vendor advisories</w:t>
      </w:r>
    </w:p>
    <w:p/>
    <w:p>
      <w:pPr>
        <w:jc w:val="left"/>
      </w:pPr>
      <w:r>
        <w:rPr>
          <w:rFonts w:ascii="Arial" w:hAnsi="Arial"/>
          <w:b/>
          <w:color w:val="555555"/>
          <w:sz w:val="20"/>
          <w:u w:val="none"/>
        </w:rPr>
        <w:t>Prepared by: Cyber Threat Intelligence | cti@illumina.com</w:t>
      </w:r>
    </w:p>
    <w:p/>
    <w:sectPr w:rsidR="00FC693F" w:rsidRPr="0006063C" w:rsidSect="00034616">
      <w:pgPr>
        <w:vAlign w:val="top"/>
      </w:pgPr>
      <w:headerReference w:type="default" r:id="rId9"/>
      <w:footerReference w:type="default" r:id="rId10"/>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i/>
        <w:color w:val="999999"/>
        <w:sz w:val="16"/>
      </w:rPr>
      <w:t xml:space="preserve">TLP: </w:t>
    </w:r>
    <w:r>
      <w:rPr>
        <w:rFonts w:ascii="Arial" w:hAnsi="Arial"/>
        <w:i/>
        <w:color w:val="E65100"/>
        <w:sz w:val="16"/>
      </w:rPr>
      <w:t>AMBER+</w:t>
    </w:r>
    <w:r>
      <w:rPr>
        <w:rFonts w:ascii="Arial" w:hAnsi="Arial"/>
        <w:i/>
        <w:color w:val="E65100"/>
        <w:sz w:val="16"/>
        <w:u w:val="none"/>
      </w:rPr>
      <w:t>STRICT</w:t>
    </w:r>
    <w:r>
      <w:rPr>
        <w:rFonts w:ascii="Arial" w:hAnsi="Arial"/>
        <w:i/>
        <w:color w:val="999999"/>
        <w:sz w:val="16"/>
      </w:rPr>
      <w:t xml:space="preserve"> | </w:t>
    </w:r>
    <w:r>
      <w:rPr>
        <w:rFonts w:ascii="Arial" w:hAnsi="Arial"/>
        <w:i/>
        <w:color w:val="999999"/>
        <w:sz w:val="16"/>
      </w:rPr>
      <w:t>Page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