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color w:val="666666"/>
          <w:sz w:val="18"/>
        </w:rPr>
        <w:t>CTI-QTR-2026-Q2</w:t>
      </w:r>
    </w:p>
    <w:p>
      <w:pPr>
        <w:spacing w:after="0"/>
        <w:jc w:val="center"/>
      </w:pPr>
      <w:r>
        <w:rPr>
          <w:rFonts w:ascii="Arial" w:hAnsi="Arial"/>
          <w:b/>
          <w:color w:val="E65100"/>
          <w:sz w:val="40"/>
        </w:rPr>
        <w:t>Quarterly Strategic Brief</w:t>
      </w:r>
    </w:p>
    <w:p>
      <w:pPr>
        <w:pStyle w:val="Subtitle"/>
        <w:spacing w:after="0"/>
        <w:jc w:val="center"/>
      </w:pPr>
      <w:r>
        <w:rPr>
          <w:rFonts w:ascii="Arial" w:hAnsi="Arial"/>
          <w:color w:val="555555"/>
        </w:rPr>
        <w:t>90-Day Lookback | January 25 to April 25, 2026</w:t>
      </w:r>
    </w:p>
    <w:p/>
    <w:p>
      <w:pPr>
        <w:pStyle w:val="Heading1"/>
        <w:spacing w:after="120"/>
      </w:pPr>
      <w:r>
        <w:rPr>
          <w:rFonts w:ascii="Arial" w:hAnsi="Arial"/>
          <w:color w:val="E65100"/>
          <w:sz w:val="28"/>
        </w:rPr>
        <w:t>Executive Summary</w:t>
      </w:r>
    </w:p>
    <w:p>
      <w:r>
        <w:rPr>
          <w:rFonts w:ascii="Arial" w:hAnsi="Arial"/>
          <w:sz w:val="21"/>
        </w:rPr>
        <w:t>This quarter, the cyber threat landscape for the life sciences, healthcare, biotechnology, and manufacturing sectors remains highly active and increasingly complex. We observed a sustained volume of breach activity, with initial access brokers and extortion groups continuing to target organizations across our industry peer set. Nation state actors from China, Russia, and North Korea remain highly engaged, with a particular focus on intellectual property, research data, and supply chain disruption. Ransomware and extortion attacks continue to be a primary driver of business risk, with criminal groups leveraging both technical vulnerabilities and insider access to maximize impact. The supply chain and third-party ecosystem remains a critical exposure point, as attackers seek to exploit trusted relationships and interconnected systems. Regulatory scrutiny is increasing, particularly around data protection and operational resilience, raising the stakes for compliance and incident response. Peer organizations are investing heavily in security modernization, third-party risk management, and executive awareness initiatives. Failure to keep pace with these industry benchmarks may result in competitive disadvantage, regulatory penalties, and reputational harm.</w:t>
      </w:r>
    </w:p>
    <w:p/>
    <w:p>
      <w:pPr>
        <w:pStyle w:val="Heading1"/>
        <w:spacing w:before="240" w:after="120"/>
      </w:pPr>
      <w:r>
        <w:rPr>
          <w:rFonts w:ascii="Arial" w:hAnsi="Arial"/>
          <w:color w:val="E65100"/>
          <w:sz w:val="28"/>
        </w:rPr>
        <w:t>Quarterly Risk Assessment</w:t>
      </w:r>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Nation-State Espionage</w:t>
            </w:r>
          </w:p>
          <w:p>
            <w:pPr>
              <w:spacing w:before="0" w:after="0"/>
              <w:jc w:val="center"/>
            </w:pPr>
            <w:r>
              <w:rPr>
                <w:rFonts w:ascii="Arial" w:hAnsi="Arial"/>
                <w:b/>
                <w:color w:val="F47F7D"/>
                <w:sz w:val="28"/>
              </w:rPr>
              <w:t>HIGH</w:t>
            </w:r>
          </w:p>
          <w:p>
            <w:pPr>
              <w:spacing w:before="0" w:after="0"/>
              <w:jc w:val="center"/>
            </w:pPr>
            <w:r>
              <w:rPr>
                <w:rFonts w:ascii="Arial" w:hAnsi="Arial"/>
                <w:color w:val="333333"/>
                <w:sz w:val="16"/>
              </w:rPr>
              <w:t>vs Q1: Unchanged</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Ransomware &amp; Extortion</w:t>
            </w:r>
          </w:p>
          <w:p>
            <w:pPr>
              <w:spacing w:before="0" w:after="0"/>
              <w:jc w:val="center"/>
            </w:pPr>
            <w:r>
              <w:rPr>
                <w:rFonts w:ascii="Arial" w:hAnsi="Arial"/>
                <w:b/>
                <w:color w:val="F47F7D"/>
                <w:sz w:val="28"/>
              </w:rPr>
              <w:t>HIGH</w:t>
            </w:r>
          </w:p>
          <w:p>
            <w:pPr>
              <w:spacing w:before="0" w:after="0"/>
              <w:jc w:val="center"/>
            </w:pPr>
            <w:r>
              <w:rPr>
                <w:rFonts w:ascii="Arial" w:hAnsi="Arial"/>
                <w:color w:val="F47F7D"/>
                <w:sz w:val="16"/>
              </w:rPr>
              <w:t>vs Q1: +14%</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Supply Chain Compromise</w:t>
            </w:r>
          </w:p>
          <w:p>
            <w:pPr>
              <w:spacing w:before="0" w:after="0"/>
              <w:jc w:val="center"/>
            </w:pPr>
            <w:r>
              <w:rPr>
                <w:rFonts w:ascii="Arial" w:hAnsi="Arial"/>
                <w:b/>
                <w:color w:val="F47F7D"/>
                <w:sz w:val="28"/>
              </w:rPr>
              <w:t>HIGH</w:t>
            </w:r>
          </w:p>
          <w:p>
            <w:pPr>
              <w:spacing w:before="0" w:after="0"/>
              <w:jc w:val="center"/>
            </w:pPr>
            <w:r>
              <w:rPr>
                <w:rFonts w:ascii="Arial" w:hAnsi="Arial"/>
                <w:color w:val="333333"/>
                <w:sz w:val="16"/>
              </w:rPr>
              <w:t>vs Q1: Unchanged</w:t>
            </w:r>
          </w:p>
        </w:tc>
        <w:tc>
          <w:tcPr>
            <w:tcW w:type="dxa" w:w="2520"/>
            <w:vAlign w:val="center"/>
            <w:tcMar>
              <w:top w:w="72" w:type="dxa"/>
              <w:bottom w:w="72" w:type="dxa"/>
              <w:left w:w="72" w:type="dxa"/>
              <w:right w:w="72" w:type="dxa"/>
            </w:tcMar>
            <w:shd w:fill="F2F2F2"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333333"/>
                <w:sz w:val="18"/>
              </w:rPr>
              <w:t>Insider Threat</w:t>
            </w:r>
          </w:p>
          <w:p>
            <w:pPr>
              <w:spacing w:before="0" w:after="0"/>
              <w:jc w:val="center"/>
            </w:pPr>
            <w:r>
              <w:rPr>
                <w:rFonts w:ascii="Arial" w:hAnsi="Arial"/>
                <w:b/>
                <w:color w:val="FFA500"/>
                <w:sz w:val="28"/>
              </w:rPr>
              <w:t>MEDIUM</w:t>
            </w:r>
          </w:p>
          <w:p>
            <w:pPr>
              <w:spacing w:before="0" w:after="0"/>
              <w:jc w:val="center"/>
            </w:pPr>
            <w:r>
              <w:rPr>
                <w:rFonts w:ascii="Arial" w:hAnsi="Arial"/>
                <w:color w:val="333333"/>
                <w:sz w:val="16"/>
              </w:rPr>
              <w:t>vs Q1: Unchanged</w:t>
            </w:r>
          </w:p>
        </w:tc>
      </w:tr>
    </w:tbl>
    <w:p/>
    <w:p>
      <w:pPr>
        <w:pStyle w:val="Heading1"/>
        <w:spacing w:before="240" w:after="120"/>
      </w:pPr>
      <w:r>
        <w:rPr>
          <w:rFonts w:ascii="Arial" w:hAnsi="Arial"/>
          <w:color w:val="E65100"/>
          <w:sz w:val="28"/>
        </w:rPr>
        <w:t>Industry Breach Landscape</w:t>
      </w:r>
    </w:p>
    <w:p>
      <w:r>
        <w:rPr>
          <w:rFonts w:ascii="Arial" w:hAnsi="Arial"/>
          <w:i/>
          <w:color w:val="666666"/>
          <w:sz w:val="18"/>
        </w:rPr>
        <w:t>Publicly disclosed security incidents affecting life sciences, pharmaceutical, biotechnology, healthcare, and advanced manufacturing organizations during Q2 2026.</w:t>
      </w:r>
    </w:p>
    <w:p/>
    <w:tbl>
      <w:tblPr>
        <w:tblW w:type="pct" w:w="5000"/>
        <w:jc w:val="left"/>
        <w:tblLook w:firstColumn="1" w:firstRow="1" w:lastColumn="0" w:lastRow="0" w:noHBand="0" w:noVBand="1" w:val="04A0"/>
      </w:tblPr>
      <w:tblGrid>
        <w:gridCol w:w="2520"/>
        <w:gridCol w:w="2520"/>
        <w:gridCol w:w="2520"/>
        <w:gridCol w:w="2520"/>
      </w:tblGrid>
      <w:tr>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20</w:t>
            </w:r>
          </w:p>
          <w:p>
            <w:pPr>
              <w:spacing w:before="0" w:after="0"/>
              <w:jc w:val="center"/>
            </w:pPr>
            <w:r>
              <w:rPr>
                <w:rFonts w:ascii="Arial" w:hAnsi="Arial"/>
                <w:b/>
                <w:color w:val="F0F0F0"/>
                <w:sz w:val="17"/>
              </w:rPr>
              <w:t>Total Incidents</w:t>
            </w:r>
          </w:p>
          <w:p>
            <w:pPr>
              <w:spacing w:before="0" w:after="0"/>
              <w:jc w:val="center"/>
            </w:pPr>
            <w:r>
              <w:rPr>
                <w:rFonts w:ascii="Arial" w:hAnsi="Arial"/>
                <w:color w:val="F0F0F0"/>
                <w:sz w:val="14"/>
              </w:rPr>
              <w:t xml:space="preserve">Q1 2026: 18 </w:t>
            </w:r>
            <w:r>
              <w:rPr>
                <w:rFonts w:ascii="Arial" w:hAnsi="Arial"/>
                <w:color w:val="E65100"/>
                <w:sz w:val="14"/>
              </w:rPr>
              <w:t>+11%</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$120M</w:t>
            </w:r>
          </w:p>
          <w:p>
            <w:pPr>
              <w:spacing w:before="0" w:after="0"/>
              <w:jc w:val="center"/>
            </w:pPr>
            <w:r>
              <w:rPr>
                <w:rFonts w:ascii="Arial" w:hAnsi="Arial"/>
                <w:b/>
                <w:color w:val="F0F0F0"/>
                <w:sz w:val="17"/>
              </w:rPr>
              <w:t>Est. Total Impact</w:t>
            </w:r>
          </w:p>
          <w:p>
            <w:pPr>
              <w:spacing w:before="0" w:after="0"/>
              <w:jc w:val="center"/>
            </w:pPr>
            <w:r>
              <w:rPr>
                <w:rFonts w:ascii="Arial" w:hAnsi="Arial"/>
                <w:color w:val="F0F0F0"/>
                <w:sz w:val="14"/>
              </w:rPr>
              <w:t xml:space="preserve">Q1 2026: $100M </w:t>
            </w:r>
            <w:r>
              <w:rPr>
                <w:rFonts w:ascii="Arial" w:hAnsi="Arial"/>
                <w:color w:val="E65100"/>
                <w:sz w:val="14"/>
              </w:rPr>
              <w:t>+20%</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8</w:t>
            </w:r>
          </w:p>
          <w:p>
            <w:pPr>
              <w:spacing w:before="0" w:after="0"/>
              <w:jc w:val="center"/>
            </w:pPr>
            <w:r>
              <w:rPr>
                <w:rFonts w:ascii="Arial" w:hAnsi="Arial"/>
                <w:b/>
                <w:color w:val="F0F0F0"/>
                <w:sz w:val="17"/>
              </w:rPr>
              <w:t>Ransomware</w:t>
            </w:r>
          </w:p>
          <w:p>
            <w:pPr>
              <w:spacing w:before="0" w:after="0"/>
              <w:jc w:val="center"/>
            </w:pPr>
            <w:r>
              <w:rPr>
                <w:rFonts w:ascii="Arial" w:hAnsi="Arial"/>
                <w:color w:val="F0F0F0"/>
                <w:sz w:val="14"/>
              </w:rPr>
              <w:t xml:space="preserve">Q1 2026: 7 </w:t>
            </w:r>
            <w:r>
              <w:rPr>
                <w:rFonts w:ascii="Arial" w:hAnsi="Arial"/>
                <w:color w:val="E65100"/>
                <w:sz w:val="14"/>
              </w:rPr>
              <w:t>+14%</w:t>
            </w:r>
          </w:p>
        </w:tc>
        <w:tc>
          <w:tcPr>
            <w:tcW w:type="dxa" w:w="2520"/>
            <w:vAlign w:val="center"/>
            <w:tcMar>
              <w:top w:w="72" w:type="dxa"/>
              <w:bottom w:w="72" w:type="dxa"/>
              <w:left w:w="72" w:type="dxa"/>
              <w:right w:w="72" w:type="dxa"/>
            </w:tcMar>
            <w:shd w:fill="372E00" w:val="clear" w:color="auto"/>
            <w:tcBorders>
              <w:top w:val="single" w:sz="1" w:space="0" w:color="C0C0C0"/>
              <w:bottom w:val="single" w:sz="1" w:space="0" w:color="C0C0C0"/>
              <w:left w:val="single" w:sz="1" w:space="0" w:color="C0C0C0"/>
              <w:right w:val="single" w:sz="1" w:space="0" w:color="C0C0C0"/>
            </w:tcBorders>
          </w:tcPr>
          <w:p>
            <w:pPr>
              <w:spacing w:before="0" w:after="0"/>
              <w:jc w:val="center"/>
            </w:pPr>
            <w:r>
              <w:rPr>
                <w:rFonts w:ascii="Arial" w:hAnsi="Arial"/>
                <w:b/>
                <w:color w:val="F0F0F0"/>
                <w:sz w:val="36"/>
              </w:rPr>
              <w:t>15M</w:t>
            </w:r>
          </w:p>
          <w:p>
            <w:pPr>
              <w:spacing w:before="0" w:after="0"/>
              <w:jc w:val="center"/>
            </w:pPr>
            <w:r>
              <w:rPr>
                <w:rFonts w:ascii="Arial" w:hAnsi="Arial"/>
                <w:b/>
                <w:color w:val="F0F0F0"/>
                <w:sz w:val="17"/>
              </w:rPr>
              <w:t>Records Exposed</w:t>
            </w:r>
          </w:p>
          <w:p>
            <w:pPr>
              <w:spacing w:before="0" w:after="0"/>
              <w:jc w:val="center"/>
            </w:pPr>
            <w:r>
              <w:rPr>
                <w:rFonts w:ascii="Arial" w:hAnsi="Arial"/>
                <w:color w:val="F0F0F0"/>
                <w:sz w:val="14"/>
              </w:rPr>
              <w:t xml:space="preserve">Q1 2026: 12M </w:t>
            </w:r>
            <w:r>
              <w:rPr>
                <w:rFonts w:ascii="Arial" w:hAnsi="Arial"/>
                <w:color w:val="E65100"/>
                <w:sz w:val="14"/>
              </w:rPr>
              <w:t>+25%</w:t>
            </w:r>
          </w:p>
        </w:tc>
      </w:tr>
    </w:tbl>
    <w:p/>
    <w:p>
      <w:pPr>
        <w:pStyle w:val="Heading2"/>
        <w:spacing w:after="120"/>
      </w:pPr>
      <w:r>
        <w:rPr>
          <w:rFonts w:ascii="Arial" w:hAnsi="Arial"/>
          <w:color w:val="000000"/>
          <w:sz w:val="24"/>
        </w:rPr>
        <w:t>Incidents by Type</w:t>
      </w:r>
    </w:p>
    <w:tbl>
      <w:tblPr>
        <w:tblW w:type="auto" w:w="0"/>
        <w:tblLook w:firstColumn="1" w:firstRow="1" w:lastColumn="0" w:lastRow="0" w:noHBand="0" w:noVBand="1" w:val="04A0"/>
      </w:tblPr>
      <w:tblGrid>
        <w:gridCol w:w="2160"/>
        <w:gridCol w:w="720"/>
        <w:gridCol w:w="720"/>
        <w:gridCol w:w="6480"/>
      </w:tblGrid>
      <w:tr>
        <w:tc>
          <w:tcPr>
            <w:tcW w:type="dxa" w:w="2520"/>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Incident Type</w:t>
            </w:r>
          </w:p>
        </w:tc>
        <w:tc>
          <w:tcPr>
            <w:tcW w:type="dxa" w:w="2520"/>
            <w:vAlign w:val="center"/>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Q1 2026</w:t>
            </w:r>
          </w:p>
        </w:tc>
        <w:tc>
          <w:tcPr>
            <w:tcW w:type="dxa" w:w="2520"/>
            <w:vAlign w:val="center"/>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Q4 2025</w:t>
            </w:r>
          </w:p>
        </w:tc>
        <w:tc>
          <w:tcPr>
            <w:tcW w:type="dxa" w:w="2520"/>
            <w:shd w:fill="E65100" w:val="clear" w:color="auto"/>
            <w:tcBorders>
              <w:top w:val="single" w:sz="1" w:space="0" w:color="C0C0C0"/>
              <w:bottom w:val="single" w:sz="1" w:space="0" w:color="C0C0C0"/>
              <w:left w:val="single" w:sz="1" w:space="0" w:color="C0C0C0"/>
              <w:right w:val="single" w:sz="1" w:space="0" w:color="C0C0C0"/>
            </w:tcBorders>
          </w:tcPr>
          <w:p>
            <w:pPr>
              <w:jc w:val="center"/>
            </w:pPr>
            <w:r>
              <w:rPr>
                <w:rFonts w:ascii="Arial" w:hAnsi="Arial"/>
                <w:b/>
                <w:color w:val="FFFFFF"/>
                <w:sz w:val="22"/>
              </w:rPr>
              <w:t>Notable Example</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Ransomware</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8</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7</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A major manufacturing peer experienced a ransomware attack that disrupted production for several days, resulting in significant operational losses and regulatory notification requirements.</w:t>
            </w:r>
          </w:p>
        </w:tc>
      </w:tr>
      <w:tr>
        <w:tc>
          <w:tcPr>
            <w:tcW w:type="dxa" w:w="216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val="0"/>
                <w:sz w:val="22"/>
              </w:rPr>
              <w:t>Extortion/Initial Access Broker</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i w:val="0"/>
                <w:sz w:val="22"/>
              </w:rPr>
              <w:t>12</w:t>
            </w:r>
          </w:p>
        </w:tc>
        <w:tc>
          <w:tcPr>
            <w:tcW w:type="dxa" w:w="720"/>
            <w:vAlign w:val="center"/>
            <w:tcBorders>
              <w:top w:val="single" w:sz="1" w:space="0" w:color="C0C0C0"/>
              <w:bottom w:val="single" w:sz="1" w:space="0" w:color="C0C0C0"/>
              <w:left w:val="single" w:sz="1" w:space="0" w:color="C0C0C0"/>
              <w:right w:val="single" w:sz="1" w:space="0" w:color="C0C0C0"/>
            </w:tcBorders>
          </w:tcPr>
          <w:p>
            <w:pPr>
              <w:jc w:val="center"/>
            </w:pPr>
            <w:r>
              <w:rPr>
                <w:rFonts w:ascii="Arial" w:hAnsi="Arial"/>
                <w:b w:val="0"/>
                <w:i w:val="0"/>
                <w:color w:val="666666"/>
                <w:sz w:val="22"/>
              </w:rPr>
              <w:t>11</w:t>
            </w:r>
          </w:p>
        </w:tc>
        <w:tc>
          <w:tcPr>
            <w:tcW w:type="dxa" w:w="6480"/>
            <w:tcBorders>
              <w:top w:val="single" w:sz="1" w:space="0" w:color="C0C0C0"/>
              <w:bottom w:val="single" w:sz="1" w:space="0" w:color="C0C0C0"/>
              <w:left w:val="single" w:sz="1" w:space="0" w:color="C0C0C0"/>
              <w:right w:val="single" w:sz="1" w:space="0" w:color="C0C0C0"/>
            </w:tcBorders>
          </w:tcPr>
          <w:p>
            <w:pPr>
              <w:jc w:val="left"/>
            </w:pPr>
            <w:r>
              <w:rPr>
                <w:rFonts w:ascii="Arial" w:hAnsi="Arial"/>
                <w:b w:val="0"/>
                <w:i/>
                <w:color w:val="555555"/>
                <w:sz w:val="20"/>
              </w:rPr>
              <w:t>Multiple organizations reported breaches linked to initial access brokers selling credentials and network access, leading to follow-on extortion attempts.</w:t>
            </w:r>
          </w:p>
        </w:tc>
      </w:tr>
    </w:tbl>
    <w:p/>
    <w:p>
      <w:r>
        <w:rPr>
          <w:rFonts w:ascii="Arial" w:hAnsi="Arial"/>
          <w:b/>
          <w:color w:val="008AC9"/>
          <w:sz w:val="20"/>
        </w:rPr>
        <w:t xml:space="preserve">Common factors across incidents: </w:t>
      </w:r>
      <w:r>
        <w:rPr>
          <w:rFonts w:ascii="Arial" w:hAnsi="Arial"/>
          <w:b w:val="0"/>
          <w:sz w:val="20"/>
        </w:rPr>
        <w:t>Exploitation of unpatched systems (35 percent), compromised credentials (30 percent), third-party supplier compromise (20 percent), insider involvement (15 percent)</w:t>
      </w:r>
    </w:p>
    <w:p>
      <w:pPr>
        <w:pStyle w:val="Heading1"/>
        <w:spacing w:before="240" w:after="120"/>
      </w:pPr>
      <w:r>
        <w:rPr>
          <w:rFonts w:ascii="Arial" w:hAnsi="Arial"/>
          <w:color w:val="E65100"/>
          <w:sz w:val="28"/>
        </w:rPr>
        <w:t>Geopolitical Threat Landscape</w:t>
      </w:r>
    </w:p>
    <w:p>
      <w:r>
        <w:rPr>
          <w:rFonts w:ascii="Arial" w:hAnsi="Arial"/>
          <w:i/>
          <w:color w:val="666666"/>
          <w:sz w:val="18"/>
        </w:rPr>
        <w:t>Nation-state cyber activity with implications for the life sciences and genomics sector during Q2 2026.</w:t>
      </w:r>
    </w:p>
    <w:p/>
    <w:p>
      <w:pPr>
        <w:pStyle w:val="Heading2"/>
        <w:spacing w:after="120"/>
      </w:pPr>
      <w:r>
        <w:rPr>
          <w:rFonts w:ascii="Arial" w:hAnsi="Arial"/>
          <w:b/>
          <w:color w:val="000000"/>
          <w:sz w:val="24"/>
        </w:rPr>
        <w:t>China</w:t>
      </w:r>
    </w:p>
    <w:p>
      <w:r>
        <w:rPr>
          <w:rFonts w:ascii="Arial" w:hAnsi="Arial"/>
          <w:b/>
          <w:color w:val="008AC9"/>
          <w:sz w:val="21"/>
        </w:rPr>
        <w:t xml:space="preserve">Strategic Context: </w:t>
      </w:r>
      <w:r>
        <w:rPr>
          <w:rFonts w:ascii="Arial" w:hAnsi="Arial"/>
          <w:b w:val="0"/>
          <w:sz w:val="21"/>
        </w:rPr>
        <w:t>China continues to prioritize the acquisition of advanced biotechnology, pharmaceutical research, and genomics intellectual property to support national economic and healthcare objectives.</w:t>
      </w:r>
    </w:p>
    <w:p>
      <w:pPr>
        <w:spacing w:before="0" w:after="60"/>
      </w:pPr>
    </w:p>
    <w:p>
      <w:r>
        <w:rPr>
          <w:rFonts w:ascii="Arial" w:hAnsi="Arial"/>
          <w:b/>
          <w:color w:val="008AC9"/>
          <w:sz w:val="21"/>
        </w:rPr>
        <w:t xml:space="preserve">Q2 Activity: </w:t>
      </w:r>
      <w:r>
        <w:rPr>
          <w:rFonts w:ascii="Arial" w:hAnsi="Arial"/>
          <w:b w:val="0"/>
          <w:sz w:val="21"/>
        </w:rPr>
        <w:t>This quarter, China-linked actors were observed targeting healthcare, pharmaceutical, manufacturing, and academic organizations, with a focus on research data and supply chain access.</w:t>
      </w:r>
    </w:p>
    <w:p>
      <w:pPr>
        <w:spacing w:before="0" w:after="60"/>
      </w:pPr>
    </w:p>
    <w:p>
      <w:r>
        <w:rPr>
          <w:rFonts w:ascii="Arial" w:hAnsi="Arial"/>
          <w:b/>
          <w:color w:val="008AC9"/>
          <w:sz w:val="21"/>
        </w:rPr>
        <w:t xml:space="preserve">Business Implications: </w:t>
      </w:r>
      <w:r>
        <w:rPr>
          <w:rFonts w:ascii="Arial" w:hAnsi="Arial"/>
          <w:b w:val="0"/>
          <w:sz w:val="21"/>
        </w:rPr>
        <w:t>The risk of loss of proprietary information and competitive advantage is significant. Regulatory and government scrutiny of China-linked supply chain relationships is increasing, which may impact business partnerships and compliance obligations.</w:t>
      </w:r>
    </w:p>
    <w:p>
      <w:pPr>
        <w:spacing w:before="0" w:after="240"/>
        <w:pBdr>
          <w:bottom w:val="single" w:sz="6" w:space="1" w:color="CCCCCC"/>
        </w:pBdr>
      </w:pPr>
    </w:p>
    <w:p>
      <w:pPr>
        <w:pStyle w:val="Heading2"/>
        <w:spacing w:after="120"/>
      </w:pPr>
      <w:r>
        <w:rPr>
          <w:rFonts w:ascii="Arial" w:hAnsi="Arial"/>
          <w:b/>
          <w:color w:val="000000"/>
          <w:sz w:val="24"/>
        </w:rPr>
        <w:t>Russia</w:t>
      </w:r>
    </w:p>
    <w:p>
      <w:r>
        <w:rPr>
          <w:rFonts w:ascii="Arial" w:hAnsi="Arial"/>
          <w:b/>
          <w:color w:val="008AC9"/>
          <w:sz w:val="21"/>
        </w:rPr>
        <w:t xml:space="preserve">Strategic Context: </w:t>
      </w:r>
      <w:r>
        <w:rPr>
          <w:rFonts w:ascii="Arial" w:hAnsi="Arial"/>
          <w:b w:val="0"/>
          <w:sz w:val="21"/>
        </w:rPr>
        <w:t>Russia maintains a mature ransomware and cybercrime ecosystem, with criminal groups often operating with implicit state approval. Russian actors are active in both direct attacks and as service providers to other threat groups.</w:t>
      </w:r>
    </w:p>
    <w:p>
      <w:pPr>
        <w:spacing w:before="0" w:after="60"/>
      </w:pPr>
    </w:p>
    <w:p>
      <w:r>
        <w:rPr>
          <w:rFonts w:ascii="Arial" w:hAnsi="Arial"/>
          <w:b/>
          <w:color w:val="008AC9"/>
          <w:sz w:val="21"/>
        </w:rPr>
        <w:t xml:space="preserve">Q2 Activity: </w:t>
      </w:r>
      <w:r>
        <w:rPr>
          <w:rFonts w:ascii="Arial" w:hAnsi="Arial"/>
          <w:b w:val="0"/>
          <w:sz w:val="21"/>
        </w:rPr>
        <w:t>Russian-linked ransomware and extortion groups continue to target healthcare, pharmaceutical, and manufacturing sectors, causing operational disruption and financial loss. Several high-profile incidents involved data theft and double extortion tactics.</w:t>
      </w:r>
    </w:p>
    <w:p>
      <w:pPr>
        <w:spacing w:before="0" w:after="60"/>
      </w:pPr>
    </w:p>
    <w:p>
      <w:r>
        <w:rPr>
          <w:rFonts w:ascii="Arial" w:hAnsi="Arial"/>
          <w:b/>
          <w:color w:val="008AC9"/>
          <w:sz w:val="21"/>
        </w:rPr>
        <w:t xml:space="preserve">Business Implications: </w:t>
      </w:r>
      <w:r>
        <w:rPr>
          <w:rFonts w:ascii="Arial" w:hAnsi="Arial"/>
          <w:b w:val="0"/>
          <w:sz w:val="21"/>
        </w:rPr>
        <w:t>Business continuity and brand reputation are at risk, with potential for regulatory fines due to data exposure. Insurance costs and requirements are rising in response to the persistent ransomware threat.</w:t>
      </w:r>
    </w:p>
    <w:p>
      <w:pPr>
        <w:spacing w:before="0" w:after="240"/>
        <w:pBdr>
          <w:bottom w:val="single" w:sz="6" w:space="1" w:color="CCCCCC"/>
        </w:pBdr>
      </w:pPr>
    </w:p>
    <w:p>
      <w:pPr>
        <w:pStyle w:val="Heading2"/>
        <w:spacing w:after="120"/>
      </w:pPr>
      <w:r>
        <w:rPr>
          <w:rFonts w:ascii="Arial" w:hAnsi="Arial"/>
          <w:b/>
          <w:color w:val="000000"/>
          <w:sz w:val="24"/>
        </w:rPr>
        <w:t>North Korea</w:t>
      </w:r>
    </w:p>
    <w:p>
      <w:r>
        <w:rPr>
          <w:rFonts w:ascii="Arial" w:hAnsi="Arial"/>
          <w:b/>
          <w:color w:val="008AC9"/>
          <w:sz w:val="21"/>
        </w:rPr>
        <w:t xml:space="preserve">Strategic Context: </w:t>
      </w:r>
      <w:r>
        <w:rPr>
          <w:rFonts w:ascii="Arial" w:hAnsi="Arial"/>
          <w:b w:val="0"/>
          <w:sz w:val="21"/>
        </w:rPr>
        <w:t>North Korea leverages cyber operations for both financial gain and intelligence collection, often targeting research, academic, and manufacturing organizations.</w:t>
      </w:r>
    </w:p>
    <w:p>
      <w:pPr>
        <w:spacing w:before="0" w:after="60"/>
      </w:pPr>
    </w:p>
    <w:p>
      <w:r>
        <w:rPr>
          <w:rFonts w:ascii="Arial" w:hAnsi="Arial"/>
          <w:b/>
          <w:color w:val="008AC9"/>
          <w:sz w:val="21"/>
        </w:rPr>
        <w:t xml:space="preserve">Q2 Activity: </w:t>
      </w:r>
      <w:r>
        <w:rPr>
          <w:rFonts w:ascii="Arial" w:hAnsi="Arial"/>
          <w:b w:val="0"/>
          <w:sz w:val="21"/>
        </w:rPr>
        <w:t>North Korea-linked actors were observed conducting campaigns against academic and manufacturing entities, seeking both financial assets and sensitive research data.</w:t>
      </w:r>
    </w:p>
    <w:p>
      <w:pPr>
        <w:spacing w:before="0" w:after="60"/>
      </w:pPr>
    </w:p>
    <w:p>
      <w:r>
        <w:rPr>
          <w:rFonts w:ascii="Arial" w:hAnsi="Arial"/>
          <w:b/>
          <w:color w:val="008AC9"/>
          <w:sz w:val="21"/>
        </w:rPr>
        <w:t xml:space="preserve">Business Implications: </w:t>
      </w:r>
      <w:r>
        <w:rPr>
          <w:rFonts w:ascii="Arial" w:hAnsi="Arial"/>
          <w:b w:val="0"/>
          <w:sz w:val="21"/>
        </w:rPr>
        <w:t>There is a risk of financial theft and loss of sensitive research, which could undermine innovation and erode trust with research partners and funders.</w:t>
      </w:r>
    </w:p>
    <w:p>
      <w:pPr>
        <w:spacing w:before="0" w:after="240"/>
        <w:pBdr>
          <w:bottom w:val="single" w:sz="6" w:space="1" w:color="CCCCCC"/>
        </w:pBdr>
      </w:pPr>
    </w:p>
    <w:p>
      <w:pPr>
        <w:pStyle w:val="Heading1"/>
        <w:spacing w:before="240" w:after="120"/>
      </w:pPr>
      <w:r>
        <w:rPr>
          <w:rFonts w:ascii="Arial" w:hAnsi="Arial"/>
          <w:color w:val="E65100"/>
          <w:sz w:val="28"/>
        </w:rPr>
        <w:t>Looking Ahead: Q3 2026</w:t>
      </w:r>
    </w:p>
    <w:p>
      <w:r>
        <w:rPr>
          <w:rFonts w:ascii="Arial" w:hAnsi="Arial"/>
          <w:b/>
          <w:color w:val="008AC9"/>
          <w:sz w:val="21"/>
        </w:rPr>
        <w:t xml:space="preserve">Threat Outlook: </w:t>
      </w:r>
      <w:r>
        <w:rPr>
          <w:rFonts w:ascii="Arial" w:hAnsi="Arial"/>
          <w:b w:val="0"/>
          <w:sz w:val="21"/>
        </w:rPr>
        <w:t>We anticipate continued escalation in ransomware and extortion activity, with increased targeting of supply chain partners and third-party vendors. Nation state actors are expected to intensify their focus on research and intellectual property, particularly in genomics and advanced manufacturing. Regulatory expectations around incident disclosure and third-party risk management will continue to rise.</w:t>
      </w:r>
    </w:p>
    <w:p>
      <w:pPr>
        <w:spacing w:before="0" w:after="60"/>
      </w:pPr>
    </w:p>
    <w:p>
      <w:r>
        <w:rPr>
          <w:rFonts w:ascii="Arial" w:hAnsi="Arial"/>
          <w:b/>
          <w:color w:val="008AC9"/>
          <w:sz w:val="21"/>
        </w:rPr>
        <w:t xml:space="preserve">Planned Initiatives: </w:t>
      </w:r>
      <w:r>
        <w:rPr>
          <w:rFonts w:ascii="Arial" w:hAnsi="Arial"/>
          <w:b w:val="0"/>
          <w:sz w:val="21"/>
        </w:rPr>
        <w:t>Recommended initiatives include enhanced executive security awareness, comprehensive third-party risk assessments, targeted investment in operational technology security, and regular incident response exercises. Peer benchmarking and board-level reporting should be prioritized.</w:t>
      </w:r>
    </w:p>
    <w:p>
      <w:pPr>
        <w:spacing w:before="0" w:after="60"/>
      </w:pPr>
    </w:p>
    <w:p>
      <w:r>
        <w:rPr>
          <w:rFonts w:ascii="Arial" w:hAnsi="Arial"/>
          <w:b/>
          <w:color w:val="008AC9"/>
          <w:sz w:val="21"/>
        </w:rPr>
        <w:t xml:space="preserve">Watch Items: </w:t>
      </w:r>
      <w:r>
        <w:rPr>
          <w:rFonts w:ascii="Arial" w:hAnsi="Arial"/>
          <w:b w:val="0"/>
          <w:sz w:val="21"/>
        </w:rPr>
        <w:t>Monitor for emerging ransomware groups, changes in regulatory requirements, insider threat indicators, and vulnerabilities in key supply chain partners.</w:t>
      </w:r>
    </w:p>
    <w:p>
      <w:pPr>
        <w:pStyle w:val="Heading1"/>
        <w:spacing w:before="240" w:after="120"/>
      </w:pPr>
      <w:r>
        <w:rPr>
          <w:rFonts w:ascii="Arial" w:hAnsi="Arial"/>
          <w:color w:val="E65100"/>
          <w:sz w:val="28"/>
        </w:rPr>
        <w:t>Recommendations for Leadership</w:t>
      </w:r>
    </w:p>
    <w:p>
      <w:pPr>
        <w:pStyle w:val="ListBullet"/>
        <w:spacing w:after="120"/>
      </w:pPr>
      <w:r>
        <w:rPr>
          <w:rFonts w:ascii="Arial" w:hAnsi="Arial"/>
          <w:b/>
          <w:sz w:val="21"/>
        </w:rPr>
        <w:t>Executive AwarenessConduct tailored security briefings for executives and board members to align risk appetite and response expectations.</w:t>
      </w:r>
    </w:p>
    <w:p>
      <w:pPr>
        <w:pStyle w:val="ListBullet"/>
        <w:spacing w:after="120"/>
      </w:pPr>
      <w:r>
        <w:rPr>
          <w:rFonts w:ascii="Arial" w:hAnsi="Arial"/>
          <w:b/>
          <w:sz w:val="21"/>
        </w:rPr>
        <w:t>Vendor Risk ReviewInitiate a comprehensive review of third-party and supply chain security controls, with a focus on high-value and high-risk partners.</w:t>
      </w:r>
    </w:p>
    <w:p>
      <w:pPr>
        <w:pStyle w:val="ListBullet"/>
        <w:spacing w:after="120"/>
      </w:pPr>
      <w:r>
        <w:rPr>
          <w:rFonts w:ascii="Arial" w:hAnsi="Arial"/>
          <w:b/>
          <w:sz w:val="21"/>
        </w:rPr>
        <w:t>Manufacturing SecurityInvest in security controls and monitoring for operational technology environments to prevent production disruptions.</w:t>
      </w:r>
    </w:p>
    <w:p>
      <w:pPr>
        <w:pStyle w:val="ListBullet"/>
        <w:spacing w:after="120"/>
      </w:pPr>
      <w:r>
        <w:rPr>
          <w:rFonts w:ascii="Arial" w:hAnsi="Arial"/>
          <w:b/>
          <w:sz w:val="21"/>
        </w:rPr>
        <w:t>Incident ResponseSchedule regular tabletop exercises and update incident response plans to reflect current ransomware and extortion tactics.</w:t>
      </w:r>
    </w:p>
    <w:p>
      <w:pPr>
        <w:pStyle w:val="ListBullet"/>
        <w:spacing w:after="120"/>
      </w:pPr>
      <w:r>
        <w:rPr>
          <w:rFonts w:ascii="Arial" w:hAnsi="Arial"/>
          <w:b/>
          <w:sz w:val="21"/>
        </w:rPr>
        <w:t>Board ReportingLeverage threat intelligence and industry benchmarks to support ongoing board-level risk reporting and strategic decision making.</w:t>
      </w:r>
    </w:p>
    <w:p/>
    <w:p>
      <w:pPr>
        <w:pStyle w:val="Heading1"/>
      </w:pPr>
      <w:r>
        <w:rPr>
          <w:rFonts w:ascii="Arial" w:hAnsi="Arial"/>
          <w:color w:val="E65100"/>
          <w:sz w:val="28"/>
        </w:rPr>
        <w:t>Sources</w:t>
      </w:r>
    </w:p>
    <w:p>
      <w:pPr>
        <w:pStyle w:val="ListBullet"/>
      </w:pPr>
      <w:r>
        <w:rPr>
          <w:rFonts w:ascii="Arial" w:hAnsi="Arial"/>
          <w:b/>
          <w:sz w:val="20"/>
        </w:rPr>
        <w:t>CrowdStrike Falcon Intelligence</w:t>
      </w:r>
      <w:r>
        <w:rPr>
          <w:rFonts w:ascii="Arial" w:hAnsi="Arial"/>
          <w:color w:val="666666"/>
          <w:sz w:val="20"/>
        </w:rPr>
        <w:t xml:space="preserve"> — Threat actor profiles, APT campaigns, and adversary tracking</w:t>
      </w:r>
    </w:p>
    <w:p>
      <w:pPr>
        <w:pStyle w:val="ListBullet"/>
      </w:pPr>
      <w:r>
        <w:rPr>
          <w:rFonts w:ascii="Arial" w:hAnsi="Arial"/>
          <w:b/>
          <w:sz w:val="20"/>
        </w:rPr>
        <w:t>Intel471 Titan</w:t>
      </w:r>
      <w:r>
        <w:rPr>
          <w:rFonts w:ascii="Arial" w:hAnsi="Arial"/>
          <w:color w:val="666666"/>
          <w:sz w:val="20"/>
        </w:rPr>
        <w:t xml:space="preserve"> — Underground threat intelligence, breach reporting, and actor monitoring</w:t>
      </w:r>
    </w:p>
    <w:p>
      <w:pPr>
        <w:pStyle w:val="ListBullet"/>
      </w:pPr>
      <w:r>
        <w:rPr>
          <w:rFonts w:ascii="Arial" w:hAnsi="Arial"/>
          <w:b/>
          <w:sz w:val="20"/>
        </w:rPr>
        <w:t>NIST National Vulnerability Database (NVD)</w:t>
      </w:r>
      <w:r>
        <w:rPr>
          <w:rFonts w:ascii="Arial" w:hAnsi="Arial"/>
          <w:color w:val="666666"/>
          <w:sz w:val="20"/>
        </w:rPr>
        <w:t xml:space="preserve">  https://nvd.nist.gov/</w:t>
      </w:r>
    </w:p>
    <w:p>
      <w:pPr>
        <w:pStyle w:val="ListBullet"/>
      </w:pPr>
      <w:r>
        <w:rPr>
          <w:rFonts w:ascii="Arial" w:hAnsi="Arial"/>
          <w:b/>
          <w:sz w:val="20"/>
        </w:rPr>
        <w:t>CISA Known Exploited Vulnerabilities (KEV) Catalog</w:t>
      </w:r>
      <w:r>
        <w:rPr>
          <w:rFonts w:ascii="Arial" w:hAnsi="Arial"/>
          <w:color w:val="666666"/>
          <w:sz w:val="20"/>
        </w:rPr>
        <w:t xml:space="preserve">  https://www.cisa.gov/known-exploited-vulnerabilities-catalog</w:t>
      </w:r>
    </w:p>
    <w:p>
      <w:pPr>
        <w:pStyle w:val="ListBullet"/>
      </w:pPr>
      <w:r>
        <w:rPr>
          <w:rFonts w:ascii="Arial" w:hAnsi="Arial"/>
          <w:b/>
          <w:sz w:val="20"/>
        </w:rPr>
        <w:t>HHS Breach Portal</w:t>
      </w:r>
      <w:r>
        <w:rPr>
          <w:rFonts w:ascii="Arial" w:hAnsi="Arial"/>
          <w:color w:val="666666"/>
          <w:sz w:val="20"/>
        </w:rPr>
        <w:t xml:space="preserve">  https://ocrportal.hhs.gov/ocr/breach/breach_report.jsf</w:t>
      </w:r>
    </w:p>
    <w:p>
      <w:pPr>
        <w:pStyle w:val="ListBullet"/>
      </w:pPr>
      <w:r>
        <w:rPr>
          <w:rFonts w:ascii="Arial" w:hAnsi="Arial"/>
          <w:b/>
          <w:sz w:val="20"/>
        </w:rPr>
        <w:t>FBI Internet Crime Complaint Center (IC3)</w:t>
      </w:r>
      <w:r>
        <w:rPr>
          <w:rFonts w:ascii="Arial" w:hAnsi="Arial"/>
          <w:color w:val="666666"/>
          <w:sz w:val="20"/>
        </w:rPr>
        <w:t xml:space="preserve">  https://www.ic3.gov/</w:t>
      </w:r>
    </w:p>
    <w:p>
      <w:pPr>
        <w:pStyle w:val="ListBullet"/>
      </w:pPr>
      <w:r>
        <w:rPr>
          <w:rFonts w:ascii="Arial" w:hAnsi="Arial"/>
          <w:b/>
          <w:sz w:val="20"/>
        </w:rPr>
        <w:t>SEC EDGAR Filings</w:t>
      </w:r>
      <w:r>
        <w:rPr>
          <w:rFonts w:ascii="Arial" w:hAnsi="Arial"/>
          <w:color w:val="666666"/>
          <w:sz w:val="20"/>
        </w:rPr>
        <w:t xml:space="preserve">  https://www.sec.gov/cgi-bin/browse-edgar</w:t>
      </w:r>
    </w:p>
    <w:p>
      <w:pPr>
        <w:pStyle w:val="ListBullet"/>
      </w:pPr>
      <w:r>
        <w:rPr>
          <w:rFonts w:ascii="Arial" w:hAnsi="Arial"/>
          <w:b/>
          <w:sz w:val="20"/>
        </w:rPr>
        <w:t>MITRE ATT&amp;CK</w:t>
      </w:r>
      <w:r>
        <w:rPr>
          <w:rFonts w:ascii="Arial" w:hAnsi="Arial"/>
          <w:color w:val="666666"/>
          <w:sz w:val="20"/>
        </w:rPr>
        <w:t xml:space="preserve">  https://attack.mitre.org/</w:t>
      </w:r>
    </w:p>
    <w:p>
      <w:pPr>
        <w:pStyle w:val="ListBullet"/>
      </w:pPr>
      <w:r>
        <w:rPr>
          <w:rFonts w:ascii="Arial" w:hAnsi="Arial"/>
          <w:b/>
          <w:sz w:val="20"/>
        </w:rPr>
        <w:t>Open Source Intelligence (OSINT)</w:t>
      </w:r>
      <w:r>
        <w:rPr>
          <w:rFonts w:ascii="Arial" w:hAnsi="Arial"/>
          <w:color w:val="666666"/>
          <w:sz w:val="20"/>
        </w:rPr>
        <w:t xml:space="preserve"> — Industry publications, state AG notifications, and vendor advisories</w:t>
      </w:r>
    </w:p>
    <w:p/>
    <w:p>
      <w:pPr>
        <w:jc w:val="left"/>
      </w:pPr>
      <w:r>
        <w:rPr>
          <w:rFonts w:ascii="Arial" w:hAnsi="Arial"/>
          <w:b/>
          <w:color w:val="555555"/>
          <w:sz w:val="20"/>
          <w:u w:val="none"/>
        </w:rPr>
        <w:t>Prepared by: Cyber Threat Intelligence | cti@illumina.com</w:t>
      </w:r>
    </w:p>
    <w:p/>
    <w:sectPr w:rsidR="00FC693F" w:rsidRPr="0006063C" w:rsidSect="00034616">
      <w:pgPr>
        <w:vAlign w:val="top"/>
      </w:pgPr>
      <w:headerReference w:type="default" r:id="rId9"/>
      <w:footerReference w:type="default" r:id="rId10"/>
      <w:pgSz w:w="12240" w:h="15840"/>
      <w:pgMar w:top="1800" w:right="1080" w:bottom="1267" w:left="108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i/>
        <w:color w:val="999999"/>
        <w:sz w:val="16"/>
      </w:rPr>
      <w:t xml:space="preserve">TLP: </w:t>
    </w:r>
    <w:r>
      <w:rPr>
        <w:rFonts w:ascii="Arial" w:hAnsi="Arial"/>
        <w:i/>
        <w:color w:val="E65100"/>
        <w:sz w:val="16"/>
      </w:rPr>
      <w:t>AMBER+</w:t>
    </w:r>
    <w:r>
      <w:rPr>
        <w:rFonts w:ascii="Arial" w:hAnsi="Arial"/>
        <w:i/>
        <w:color w:val="E65100"/>
        <w:sz w:val="16"/>
        <w:u w:val="none"/>
      </w:rPr>
      <w:t>STRICT</w:t>
    </w:r>
    <w:r>
      <w:rPr>
        <w:rFonts w:ascii="Arial" w:hAnsi="Arial"/>
        <w:i/>
        <w:color w:val="999999"/>
        <w:sz w:val="16"/>
      </w:rPr>
      <w:t xml:space="preserve"> | </w:t>
    </w:r>
    <w:r>
      <w:rPr>
        <w:rFonts w:ascii="Arial" w:hAnsi="Arial"/>
        <w:i/>
        <w:color w:val="999999"/>
        <w:sz w:val="16"/>
      </w:rPr>
      <w:t>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400800" cy="687772"/>
          <wp:docPr id="1" name="Picture 1"/>
          <wp:cNvGraphicFramePr>
            <a:graphicFrameLocks noChangeAspect="1"/>
          </wp:cNvGraphicFramePr>
          <a:graphic>
            <a:graphicData uri="http://schemas.openxmlformats.org/drawingml/2006/picture">
              <pic:pic>
                <pic:nvPicPr>
                  <pic:cNvPr id="0" name="Bulletin_banner.jpg"/>
                  <pic:cNvPicPr/>
                </pic:nvPicPr>
                <pic:blipFill>
                  <a:blip r:embed="rId1"/>
                  <a:stretch>
                    <a:fillRect/>
                  </a:stretch>
                </pic:blipFill>
                <pic:spPr>
                  <a:xfrm>
                    <a:off x="0" y="0"/>
                    <a:ext cx="6400800" cy="68777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40" w:lineRule="auto"/>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40" w:lineRule="auto"/>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0" w:after="60" w:line="240" w:lineRule="auto"/>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0" w:after="60" w:line="240" w:lineRule="auto"/>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