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0" w:line="216" w:lineRule="auto"/>
        <w:jc w:val="left"/>
      </w:pPr>
      <w:r>
        <w:rPr>
          <w:rFonts w:ascii="Arial" w:hAnsi="Arial"/>
          <w:b/>
          <w:color w:val="FF5C41"/>
          <w:sz w:val="36"/>
        </w:rPr>
        <w:t>Cyber Threat Intelligence Weekly Report</w:t>
      </w:r>
    </w:p>
    <w:p>
      <w:pPr>
        <w:spacing w:before="40" w:after="120"/>
        <w:jc w:val="left"/>
      </w:pPr>
      <w:r>
        <w:rPr>
          <w:rFonts w:ascii="Arial" w:hAnsi="Arial"/>
          <w:color w:val="B0B0B0"/>
          <w:sz w:val="20"/>
        </w:rPr>
        <w:t>7-Day Lookback | April 18 to April 25, 2026</w:t>
      </w:r>
    </w:p>
    <w:p/>
    <w:p>
      <w:pPr>
        <w:pStyle w:val="Heading1"/>
        <w:spacing w:before="0" w:after="0"/>
      </w:pPr>
      <w:r>
        <w:rPr>
          <w:rFonts w:ascii="Arial" w:hAnsi="Arial"/>
          <w:b/>
          <w:color w:val="FF5C41"/>
          <w:sz w:val="28"/>
        </w:rPr>
        <w:t>Executive Summary</w:t>
      </w:r>
    </w:p>
    <w:p>
      <w:pPr>
        <w:spacing w:before="0" w:after="0"/>
        <w:jc w:val="center"/>
      </w:pPr>
      <w:r>
        <w:rPr>
          <w:color w:val="666666"/>
          <w:sz w:val="21"/>
        </w:rPr>
        <w:t>•</w:t>
      </w:r>
    </w:p>
    <w:p>
      <w:pPr>
        <w:spacing w:before="0" w:after="80" w:line="360" w:lineRule="auto"/>
      </w:pPr>
      <w:r>
        <w:rPr>
          <w:rFonts w:ascii="Arial" w:hAnsi="Arial"/>
          <w:color w:val="333333"/>
          <w:sz w:val="21"/>
        </w:rPr>
        <w:t>This week's threat intelligence analysis reveals a wide array of vulnerabilities detected across our environment, including several with high and critical severity ratings. While none of the CVEs detected are currently flagged as actively exploited, the presence of vulnerabilities affecting multiple systems increases the risk of compromise, especially for research data, laboratory equipment, and healthcare systems. Notably, CVE-2023-33999 and CVE-2022-23975 are present on seven systems each, elevating their priority due to the potential for lateral movement and broader impact. The exposure of older vulnerabilities, such as CVE-2012-4272 and CVE-2017-14622, also raises concerns about legacy systems and supply chain risk, which could be targeted by opportunistic or state-sponsored actors seeking access to intellectual property or patient data.   CrowdStrike APT activity highlights ongoing targeting of manufacturing, healthcare, and biotech sectors by both criminal and state-sponsored groups, including actors from Russia, China, Iran, and North Korea. OSINT sources report an uptick in AI-powered phishing, extortion, and malware campaigns, with new threat groups leveraging social engineering and persistent malware to compromise critical infrastructure. These trends underscore the need for rapid patching, enhanced monitoring, and supply chain vigilance to maintain regulatory compliance and protect sensitive assets.   Immediate attention should be given to vulnerabilities with wide exposure and those affecting systems integral to laboratory operations, healthcare workflows, and data management. Proactive threat hunting and monitoring for indicators associated with prominent APT groups and underground activity reported by Intel471 are recommended to mitigate the risk of data theft, ransomware, and regulatory violations.</w:t>
      </w:r>
    </w:p>
    <w:p>
      <w:pPr>
        <w:pStyle w:val="Heading1"/>
        <w:spacing w:before="120" w:after="0"/>
      </w:pPr>
      <w:r>
        <w:rPr>
          <w:rFonts w:ascii="Arial" w:hAnsi="Arial"/>
          <w:b/>
          <w:color w:val="FF5C41"/>
          <w:sz w:val="28"/>
        </w:rPr>
        <w:t xml:space="preserve">This Week </w:t>
      </w:r>
      <w:r>
        <w:rPr>
          <w:rFonts w:ascii="Arial" w:hAnsi="Arial"/>
          <w:b/>
          <w:color w:val="FF5C41"/>
          <w:sz w:val="28"/>
          <w:u w:val="none"/>
        </w:rPr>
        <w:t>at a Glance</w:t>
      </w:r>
    </w:p>
    <w:p>
      <w:pPr>
        <w:spacing w:before="200" w:after="80"/>
      </w:pPr>
      <w:r>
        <w:rPr>
          <w:rFonts w:ascii="Arial" w:hAnsi="Arial"/>
          <w:i/>
          <w:color w:val="B0B0B0"/>
          <w:sz w:val="18"/>
        </w:rPr>
        <w:t>Vulnerability and threat actor metrics from automated collection (April 18 to April 25, 2026).</w:t>
      </w:r>
    </w:p>
    <w:tbl>
      <w:tblPr>
        <w:tblW w:type="auto" w:w="0"/>
        <w:jc w:val="center"/>
        <w:tblLook w:firstColumn="1" w:firstRow="1" w:lastColumn="0" w:lastRow="0" w:noHBand="0" w:noVBand="1" w:val="04A0"/>
      </w:tblPr>
      <w:tblGrid>
        <w:gridCol w:w="3360"/>
        <w:gridCol w:w="3360"/>
        <w:gridCol w:w="3360"/>
      </w:tblGrid>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36</w:t>
            </w:r>
          </w:p>
          <w:p>
            <w:pPr>
              <w:spacing w:before="0" w:after="40"/>
              <w:jc w:val="center"/>
            </w:pPr>
            <w:r>
              <w:rPr>
                <w:b/>
                <w:color w:val="000000"/>
                <w:sz w:val="20"/>
              </w:rPr>
              <w:t>New This Week</w:t>
            </w:r>
          </w:p>
          <w:p>
            <w:pPr>
              <w:spacing w:before="0" w:after="160"/>
              <w:jc w:val="center"/>
            </w:pPr>
            <w:r>
              <w:rPr>
                <w:rFonts w:ascii="Arial" w:hAnsi="Arial"/>
                <w:color w:val="666666"/>
                <w:sz w:val="16"/>
              </w:rPr>
              <w:t>First appearance in Rapid7 scans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0</w:t>
            </w:r>
          </w:p>
          <w:p>
            <w:pPr>
              <w:spacing w:before="0" w:after="40"/>
              <w:jc w:val="center"/>
            </w:pPr>
            <w:r>
              <w:rPr>
                <w:b/>
                <w:color w:val="000000"/>
                <w:sz w:val="20"/>
              </w:rPr>
              <w:t>Persistent (3+ Wks)</w:t>
            </w:r>
          </w:p>
          <w:p>
            <w:pPr>
              <w:spacing w:before="0" w:after="160"/>
              <w:jc w:val="center"/>
            </w:pPr>
            <w:r>
              <w:rPr>
                <w:rFonts w:ascii="Arial" w:hAnsi="Arial"/>
                <w:color w:val="666666"/>
                <w:sz w:val="16"/>
              </w:rPr>
              <w:t>Unresolved from prior reports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2ECC71"/>
                <w:sz w:val="44"/>
              </w:rPr>
              <w:t>0</w:t>
            </w:r>
          </w:p>
          <w:p>
            <w:pPr>
              <w:spacing w:before="0" w:after="40"/>
              <w:jc w:val="center"/>
            </w:pPr>
            <w:r>
              <w:rPr>
                <w:b/>
                <w:color w:val="000000"/>
                <w:sz w:val="20"/>
              </w:rPr>
              <w:t>Resolved</w:t>
            </w:r>
          </w:p>
          <w:p>
            <w:pPr>
              <w:spacing w:before="0" w:after="160"/>
              <w:jc w:val="center"/>
            </w:pPr>
            <w:r>
              <w:rPr>
                <w:rFonts w:ascii="Arial" w:hAnsi="Arial"/>
                <w:color w:val="666666"/>
                <w:sz w:val="16"/>
              </w:rPr>
              <w:t>Remediated since last week</w:t>
            </w:r>
          </w:p>
        </w:tc>
      </w:tr>
    </w:tbl>
    <w:p>
      <w:pPr>
        <w:spacing w:before="0" w:after="400"/>
      </w:pPr>
    </w:p>
    <w:tbl>
      <w:tblPr>
        <w:tblW w:type="auto" w:w="0"/>
        <w:jc w:val="center"/>
        <w:tblLook w:firstColumn="1" w:firstRow="1" w:lastColumn="0" w:lastRow="0" w:noHBand="0" w:noVBand="1" w:val="04A0"/>
      </w:tblPr>
      <w:tblGrid>
        <w:gridCol w:w="3360"/>
        <w:gridCol w:w="3360"/>
        <w:gridCol w:w="3360"/>
      </w:tblGrid>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36</w:t>
            </w:r>
          </w:p>
          <w:p>
            <w:pPr>
              <w:spacing w:before="0" w:after="40"/>
              <w:jc w:val="center"/>
            </w:pPr>
            <w:r>
              <w:rPr>
                <w:b/>
                <w:color w:val="000000"/>
                <w:sz w:val="20"/>
              </w:rPr>
              <w:t>Total Exposed</w:t>
            </w:r>
          </w:p>
          <w:p>
            <w:pPr>
              <w:spacing w:before="0" w:after="160"/>
              <w:jc w:val="center"/>
            </w:pPr>
            <w:r>
              <w:rPr>
                <w:rFonts w:ascii="Arial" w:hAnsi="Arial"/>
                <w:color w:val="666666"/>
                <w:sz w:val="16"/>
              </w:rPr>
              <w:t>CVEs on assets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0</w:t>
            </w:r>
          </w:p>
          <w:p>
            <w:pPr>
              <w:spacing w:before="0" w:after="40"/>
              <w:jc w:val="center"/>
            </w:pPr>
            <w:r>
              <w:rPr>
                <w:b/>
                <w:color w:val="000000"/>
                <w:sz w:val="20"/>
              </w:rPr>
              <w:t>Actively Exploited</w:t>
            </w:r>
          </w:p>
          <w:p>
            <w:pPr>
              <w:spacing w:before="0" w:after="160"/>
              <w:jc w:val="center"/>
            </w:pPr>
            <w:r>
              <w:rPr>
                <w:rFonts w:ascii="Arial" w:hAnsi="Arial"/>
                <w:color w:val="666666"/>
                <w:sz w:val="16"/>
              </w:rPr>
              <w:t>Confirmed threat actor use</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5</w:t>
            </w:r>
          </w:p>
          <w:p>
            <w:pPr>
              <w:spacing w:before="0" w:after="40"/>
              <w:jc w:val="center"/>
            </w:pPr>
            <w:r>
              <w:rPr>
                <w:b/>
                <w:color w:val="000000"/>
                <w:sz w:val="20"/>
              </w:rPr>
              <w:t>Actor Groups</w:t>
            </w:r>
          </w:p>
          <w:p>
            <w:pPr>
              <w:spacing w:before="0" w:after="160"/>
              <w:jc w:val="center"/>
            </w:pPr>
            <w:r>
              <w:rPr>
                <w:rFonts w:ascii="Arial" w:hAnsi="Arial"/>
                <w:color w:val="666666"/>
                <w:sz w:val="16"/>
              </w:rPr>
              <w:t>Targeting biotech sector</w:t>
            </w:r>
          </w:p>
        </w:tc>
      </w:tr>
    </w:tbl>
    <w:p>
      <w:pPr>
        <w:spacing w:before="0" w:after="120"/>
      </w:pPr>
    </w:p>
    <w:p>
      <w:pPr>
        <w:pStyle w:val="Heading1"/>
      </w:pPr>
      <w:r>
        <w:rPr>
          <w:rFonts w:ascii="Arial" w:hAnsi="Arial"/>
          <w:color w:val="FF5C41"/>
          <w:sz w:val="28"/>
        </w:rPr>
        <w:t>Vulnerability Exposure</w:t>
      </w:r>
    </w:p>
    <w:tbl>
      <w:tblPr>
        <w:tblW w:type="auto" w:w="0"/>
        <w:tblLook w:firstColumn="1" w:firstRow="1" w:lastColumn="0" w:lastRow="0" w:noHBand="0" w:noVBand="1" w:val="04A0"/>
      </w:tblPr>
      <w:tblGrid>
        <w:gridCol w:w="1680"/>
        <w:gridCol w:w="1680"/>
        <w:gridCol w:w="1680"/>
        <w:gridCol w:w="1680"/>
        <w:gridCol w:w="1680"/>
        <w:gridCol w:w="1680"/>
      </w:tblGrid>
      <w:tr>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CVE ID</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Affected Product</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Exposure</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Exploited By</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Priority</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Wks</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CVE-2023-33999</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2mb-autocode</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7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CVE-2021-39317</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access-demo-importer</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7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CVE-2022-23975</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access-demo-importer</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7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CVE-2022-4974</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3d-viewer</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6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CVE-2022-23976</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access-demo-importer</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CVE-2012-4272</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2-click-socialmedia-buttons</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CVE-2017-14622</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2kb-amazon-affiliates-store</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CVE-2025-64293</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0-day-analytics</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CVE-2024-13555</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1-click-migration</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CVE-2024-13609</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1-click-migration</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bl>
    <w:p>
      <w:pPr>
        <w:jc w:val="left"/>
      </w:pPr>
      <w:r>
        <w:rPr>
          <w:rFonts w:ascii="Arial" w:hAnsi="Arial"/>
          <w:i/>
          <w:color w:val="666666"/>
          <w:sz w:val="14"/>
        </w:rPr>
        <w:t>Priority: P1 = Address immediately (24-48 hours) • P2 = Patch within 7-14 days • P3 = Schedule within 30 days   |   Wks = consecutive weeks detected. Items at 3+ weeks (yellow) are persistent and require escalation. Items at 4+ weeks (red) are long overdue. Source: Rapid7 InsightVM scans.</w:t>
      </w:r>
    </w:p>
    <w:p/>
    <w:p>
      <w:pPr>
        <w:pStyle w:val="Heading1"/>
      </w:pPr>
      <w:r>
        <w:rPr>
          <w:rFonts w:ascii="Arial" w:hAnsi="Arial"/>
          <w:color w:val="FF5C41"/>
          <w:sz w:val="28"/>
        </w:rPr>
        <w:t>Sector Threat Activity</w:t>
      </w:r>
    </w:p>
    <w:p>
      <w:r>
        <w:rPr>
          <w:i/>
          <w:color w:val="666666"/>
          <w:sz w:val="20"/>
        </w:rPr>
        <w:t>The following threat actors have been observed targeting organizations in the biotech, pharmaceutical, healthcare, manufacturing, and related sectors this week.</w:t>
      </w:r>
    </w:p>
    <w:p/>
    <w:tbl>
      <w:tblPr>
        <w:tblW w:type="auto" w:w="0"/>
        <w:tblLook w:firstColumn="1" w:firstRow="1" w:lastColumn="0" w:lastRow="0" w:noHBand="0" w:noVBand="1" w:val="04A0"/>
      </w:tblPr>
      <w:tblGrid>
        <w:gridCol w:w="3360"/>
        <w:gridCol w:w="3360"/>
        <w:gridCol w:w="3360"/>
      </w:tblGrid>
      <w:tr>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Origin / Motivation</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Activity Observed</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What to Monitor</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Unknown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VICE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ransomware activity, suspicious file encryption, and unauthorized access attempts.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Russian Federation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TRAVELING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Watch for credential harvesting, lateral movement, and connections to Russian IPs.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Iran</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HYDRO KITTEN</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phishing campaigns, suspicious PowerShell activity, and unauthorized access.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China</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VERTIGO PANDA</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Scan for data exfiltration attempts, unusual outbound traffic, and compromised vendor accounts.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North Korea</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RICOCHET CHOLLIMA</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spear phishing, malware delivery, and connections to Asia-Pacific regions.</w:t>
            </w:r>
          </w:p>
        </w:tc>
      </w:tr>
    </w:tbl>
    <w:p/>
    <w:p>
      <w:pPr>
        <w:pStyle w:val="Heading1"/>
      </w:pPr>
      <w:r>
        <w:rPr>
          <w:rFonts w:ascii="Arial" w:hAnsi="Arial"/>
          <w:color w:val="FF5C41"/>
          <w:sz w:val="28"/>
        </w:rPr>
        <w:t>Exploitation Indicators for This Week's CVEs</w:t>
      </w:r>
    </w:p>
    <w:p>
      <w:pPr>
        <w:pStyle w:val="ListBullet"/>
      </w:pPr>
      <w:r>
        <w:rPr>
          <w:b/>
          <w:sz w:val="20"/>
        </w:rPr>
        <w:t>CVE-2023-33999 (WordPress Plugin: 2mb-autocode): A vulnerability affecting multiple systems, potentially allowing unauthorized access or code execution.</w:t>
      </w:r>
    </w:p>
    <w:p>
      <w:pPr>
        <w:pStyle w:val="ListBullet"/>
      </w:pPr>
      <w:r>
        <w:rPr>
          <w:b/>
          <w:sz w:val="20"/>
        </w:rPr>
        <w:t>CVE-2021-39317 (WordPress Plugin: access-demo-importer): A vulnerability with potential for privilege escalation or unauthorized access.</w:t>
      </w:r>
    </w:p>
    <w:p>
      <w:pPr>
        <w:pStyle w:val="ListBullet"/>
      </w:pPr>
      <w:r>
        <w:rPr>
          <w:b/>
          <w:sz w:val="20"/>
        </w:rPr>
        <w:t>CVE-2022-23975 (WordPress Plugin: access-demo-importer): A vulnerability that could be exploited for remote code execution or data compromise.</w:t>
      </w:r>
    </w:p>
    <w:p>
      <w:pPr>
        <w:pStyle w:val="ListBullet"/>
      </w:pPr>
      <w:r>
        <w:rPr>
          <w:b/>
          <w:sz w:val="20"/>
        </w:rPr>
        <w:t>CVE-2022-4974 (WordPress Plugin: 3d-viewer): A vulnerability with potential for unauthorized access or denial of service.</w:t>
      </w:r>
    </w:p>
    <w:p>
      <w:pPr>
        <w:pStyle w:val="ListBullet"/>
      </w:pPr>
      <w:r>
        <w:rPr>
          <w:b/>
          <w:sz w:val="20"/>
        </w:rPr>
        <w:t>CVE-2022-23976 (WordPress Plugin: access-demo-importer): A vulnerability that may allow unauthorized access or manipulation.</w:t>
      </w:r>
    </w:p>
    <w:p/>
    <w:p>
      <w:pPr>
        <w:pStyle w:val="Heading1"/>
      </w:pPr>
      <w:r>
        <w:rPr>
          <w:rFonts w:ascii="Arial" w:hAnsi="Arial"/>
          <w:color w:val="FF5C41"/>
          <w:sz w:val="28"/>
        </w:rPr>
        <w:t>Recommended Actions</w:t>
      </w:r>
    </w:p>
    <w:p>
      <w:pPr>
        <w:pStyle w:val="ListBullet"/>
      </w:pPr>
      <w:r>
        <w:rPr>
          <w:sz w:val="20"/>
        </w:rPr>
        <w:t>Patch high-severity vulnerabilities with wide exposure (e.g., CVE-2023-33999, CVE-2021-39317, CVE-2022-23975) within 7-14 days to reduce risk of lateral movement and data compromise.</w:t>
      </w:r>
    </w:p>
    <w:p>
      <w:pPr>
        <w:pStyle w:val="ListBullet"/>
      </w:pPr>
      <w:r>
        <w:rPr>
          <w:b/>
          <w:sz w:val="20"/>
        </w:rPr>
        <w:t>Review and remediate legacy vulnerabilities (e.g., CVE-2012-4272, CVE-2017-14622) on critical assets to mitigate supply chain and legacy device risk.</w:t>
      </w:r>
    </w:p>
    <w:p>
      <w:pPr>
        <w:pStyle w:val="ListBullet"/>
      </w:pPr>
      <w:r>
        <w:rPr>
          <w:sz w:val="20"/>
        </w:rPr>
        <w:t>Enhance threat monitoring for ransomware and APT activity targeting manufacturing, healthcare, and biotech sectors, including indicators from CrowdStrike and Intel471.</w:t>
      </w:r>
    </w:p>
    <w:p>
      <w:pPr>
        <w:pStyle w:val="ListBullet"/>
      </w:pPr>
      <w:r>
        <w:rPr>
          <w:sz w:val="20"/>
        </w:rPr>
        <w:t>Implement stricter access controls and network segmentation for laboratory equipment and IoT devices to prevent exploitation of vulnerabilities.</w:t>
      </w:r>
    </w:p>
    <w:p>
      <w:pPr>
        <w:pStyle w:val="ListBullet"/>
      </w:pPr>
      <w:r>
        <w:rPr>
          <w:b/>
          <w:sz w:val="20"/>
        </w:rPr>
        <w:t>Conduct regular vulnerability scans and prioritize remediation based on exposure and asset criticality, maintaining compliance with HIPAA and FDA requirements.</w:t>
      </w:r>
    </w:p>
    <w:p/>
    <w:p>
      <w:pPr>
        <w:pStyle w:val="Heading1"/>
      </w:pPr>
      <w:r>
        <w:rPr>
          <w:rFonts w:ascii="Arial" w:hAnsi="Arial"/>
          <w:color w:val="FF5C41"/>
          <w:sz w:val="28"/>
        </w:rPr>
        <w:t>Sources</w:t>
      </w:r>
    </w:p>
    <w:p>
      <w:pPr>
        <w:pStyle w:val="ListBullet"/>
      </w:pPr>
      <w:r>
        <w:rPr>
          <w:b/>
          <w:sz w:val="20"/>
        </w:rPr>
        <w:t>NIST National Vulnerability Database (NVD)</w:t>
      </w:r>
      <w:r>
        <w:rPr>
          <w:color w:val="666666"/>
          <w:sz w:val="20"/>
        </w:rPr>
        <w:t xml:space="preserve">  https://nvd.nist.gov/</w:t>
      </w:r>
    </w:p>
    <w:p>
      <w:pPr>
        <w:pStyle w:val="ListBullet"/>
      </w:pPr>
      <w:r>
        <w:rPr>
          <w:b/>
          <w:sz w:val="20"/>
        </w:rPr>
        <w:t>CISA Known Exploited Vulnerabilities (KEV) Catalog</w:t>
      </w:r>
      <w:r>
        <w:rPr>
          <w:color w:val="666666"/>
          <w:sz w:val="20"/>
        </w:rPr>
        <w:t xml:space="preserve">  https://www.cisa.gov/known-exploited-vulnerabilities-catalog</w:t>
      </w:r>
    </w:p>
    <w:p>
      <w:pPr>
        <w:pStyle w:val="ListBullet"/>
      </w:pPr>
      <w:r>
        <w:rPr>
          <w:b/>
          <w:sz w:val="20"/>
        </w:rPr>
        <w:t>Rapid7 InsightVM</w:t>
      </w:r>
      <w:r>
        <w:rPr>
          <w:color w:val="666666"/>
          <w:sz w:val="20"/>
        </w:rPr>
        <w:t xml:space="preserve"> — Asset vulnerability scans and exposure data</w:t>
      </w:r>
    </w:p>
    <w:p>
      <w:pPr>
        <w:pStyle w:val="ListBullet"/>
      </w:pPr>
      <w:r>
        <w:rPr>
          <w:b/>
          <w:sz w:val="20"/>
        </w:rPr>
        <w:t>CrowdStrike Falcon Intelligence</w:t>
      </w:r>
      <w:r>
        <w:rPr>
          <w:color w:val="666666"/>
          <w:sz w:val="20"/>
        </w:rPr>
        <w:t xml:space="preserve"> — Threat actor profiles and APT tracking</w:t>
      </w:r>
    </w:p>
    <w:p>
      <w:pPr>
        <w:pStyle w:val="ListBullet"/>
      </w:pPr>
      <w:r>
        <w:rPr>
          <w:b/>
          <w:sz w:val="20"/>
        </w:rPr>
        <w:t>Intel471 Titan</w:t>
      </w:r>
      <w:r>
        <w:rPr>
          <w:color w:val="666666"/>
          <w:sz w:val="20"/>
        </w:rPr>
        <w:t xml:space="preserve"> — Underground threat intelligence and breach reporting</w:t>
      </w:r>
    </w:p>
    <w:p>
      <w:pPr>
        <w:pStyle w:val="ListBullet"/>
      </w:pPr>
      <w:r>
        <w:rPr>
          <w:b/>
          <w:sz w:val="20"/>
        </w:rPr>
        <w:t>ThreatQ</w:t>
      </w:r>
      <w:r>
        <w:rPr>
          <w:color w:val="666666"/>
          <w:sz w:val="20"/>
        </w:rPr>
        <w:t xml:space="preserve"> — Indicator of compromise (IOC) aggregation</w:t>
      </w:r>
    </w:p>
    <w:p>
      <w:pPr>
        <w:pStyle w:val="ListBullet"/>
      </w:pPr>
      <w:r>
        <w:rPr>
          <w:b/>
          <w:sz w:val="20"/>
        </w:rPr>
        <w:t>MITRE ATT&amp;CK</w:t>
      </w:r>
      <w:r>
        <w:rPr>
          <w:color w:val="666666"/>
          <w:sz w:val="20"/>
        </w:rPr>
        <w:t xml:space="preserve">  https://attack.mitre.org/</w:t>
      </w:r>
    </w:p>
    <w:p/>
    <w:p>
      <w:pPr>
        <w:jc w:val="center"/>
      </w:pPr>
      <w:r>
        <w:rPr>
          <w:b/>
          <w:sz w:val="20"/>
        </w:rPr>
        <w:t>Questions or suspicious activity: secops@company.com | ServiceNow | cti@company.com</w:t>
      </w:r>
    </w:p>
    <w:p/>
    <w:sectPr w:rsidR="00FC693F" w:rsidRPr="0006063C" w:rsidSect="00034616">
      <w:background w:color="FFFFFF"/>
      <w:pgPr>
        <w:vAlign w:val="top"/>
      </w:pgPr>
      <w:headerReference w:type="default" r:id="rId9"/>
      <w:pgSz w:w="12240" w:h="15840"/>
      <w:pgMar w:top="1800" w:right="1080" w:bottom="1267" w:left="108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400800" cy="687772"/>
          <wp:docPr id="1" name="Picture 1"/>
          <wp:cNvGraphicFramePr>
            <a:graphicFrameLocks noChangeAspect="1"/>
          </wp:cNvGraphicFramePr>
          <a:graphic>
            <a:graphicData uri="http://schemas.openxmlformats.org/drawingml/2006/picture">
              <pic:pic>
                <pic:nvPicPr>
                  <pic:cNvPr id="0" name="Bulletin_banner.jpg"/>
                  <pic:cNvPicPr/>
                </pic:nvPicPr>
                <pic:blipFill>
                  <a:blip r:embed="rId1"/>
                  <a:stretch>
                    <a:fillRect/>
                  </a:stretch>
                </pic:blipFill>
                <pic:spPr>
                  <a:xfrm>
                    <a:off x="0" y="0"/>
                    <a:ext cx="6400800" cy="687772"/>
                  </a:xfrm>
                  <a:prstGeom prst="rect"/>
                </pic:spPr>
              </pic:pic>
            </a:graphicData>
          </a:graphic>
        </wp:inline>
      </w:drawing>
    </w:r>
  </w:p>
  <w:p>
    <w:pPr>
      <w:spacing w:before="40" w:after="0"/>
      <w:jc w:val="right"/>
    </w:pPr>
    <w:r>
      <w:rPr>
        <w:rFonts w:ascii="Consolas" w:hAnsi="Consolas"/>
        <w:color w:val="B0B0B0"/>
        <w:sz w:val="16"/>
      </w:rPr>
      <w:t>CTI-WK-2026-17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Arial" w:hAnsi="Arial"/>
      <w:color w:val="33333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line="240" w:lineRule="auto"/>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6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