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Arial" w:hAnsi="Arial"/>
          <w:color w:val="666666"/>
          <w:sz w:val="18"/>
        </w:rPr>
        <w:t>CTI-QTR-2026-Q2</w:t>
      </w:r>
    </w:p>
    <w:p>
      <w:pPr>
        <w:spacing w:after="0"/>
        <w:jc w:val="center"/>
      </w:pPr>
      <w:r>
        <w:rPr>
          <w:rFonts w:ascii="Arial" w:hAnsi="Arial"/>
          <w:b/>
          <w:color w:val="E65100"/>
          <w:sz w:val="40"/>
        </w:rPr>
        <w:t>Quarterly Strategic Brief</w:t>
      </w:r>
    </w:p>
    <w:p>
      <w:pPr>
        <w:pStyle w:val="Subtitle"/>
        <w:spacing w:after="0"/>
        <w:jc w:val="center"/>
      </w:pPr>
      <w:r>
        <w:rPr>
          <w:rFonts w:ascii="Arial" w:hAnsi="Arial"/>
          <w:color w:val="555555"/>
        </w:rPr>
        <w:t>90-Day Lookback | January 25 to April 25, 2026</w:t>
      </w:r>
    </w:p>
    <w:p/>
    <w:p>
      <w:pPr>
        <w:pStyle w:val="Heading1"/>
        <w:spacing w:after="120"/>
      </w:pPr>
      <w:r>
        <w:rPr>
          <w:rFonts w:ascii="Arial" w:hAnsi="Arial"/>
          <w:color w:val="E65100"/>
          <w:sz w:val="28"/>
        </w:rPr>
        <w:t>Executive Summary</w:t>
      </w:r>
    </w:p>
    <w:p>
      <w:r>
        <w:rPr>
          <w:rFonts w:ascii="Arial" w:hAnsi="Arial"/>
          <w:sz w:val="21"/>
        </w:rPr>
        <w:t>This quarter, the cyber threat landscape for organizations in the life sciences, genomics, healthcare, pharmaceutical, technology, and manufacturing sectors remains highly dynamic and increasingly complex. We observed sustained and sophisticated activity from nation state actors, particularly those linked to China, Russia, and North Korea, each with distinct strategic interests in our sector. Ransomware and extortion attacks continue to be a primary business risk, with criminal groups leveraging initial access brokers and exploiting vulnerabilities across supply chains. The breach landscape shows a persistent trend of incidents involving extortion, insider threats, and exploitation of unpatched systems, with significant regulatory and reputational implications.</w:t>
      </w:r>
    </w:p>
    <w:p>
      <w:r>
        <w:rPr>
          <w:rFonts w:ascii="Arial" w:hAnsi="Arial"/>
          <w:sz w:val="21"/>
        </w:rPr>
        <w:t>Peer organizations across our industry are facing similar challenges, with a notable rise in supply chain and third-party risks. Regulatory scrutiny is intensifying, especially around data privacy, operational resilience, and incident reporting. Investment in proactive security controls, third-party risk management, and executive-level incident response planning is now a competitive necessity. Our strategic focus must remain on resilience, rapid detection, and response, as well as continuous improvement of our security posture to maintain trust with stakeholders and regulators.</w:t>
      </w:r>
    </w:p>
    <w:p/>
    <w:p>
      <w:pPr>
        <w:pStyle w:val="Heading1"/>
        <w:spacing w:before="240" w:after="120"/>
      </w:pPr>
      <w:r>
        <w:rPr>
          <w:rFonts w:ascii="Arial" w:hAnsi="Arial"/>
          <w:color w:val="E65100"/>
          <w:sz w:val="28"/>
        </w:rPr>
        <w:t>Quarterly Risk Assessment</w:t>
      </w:r>
    </w:p>
    <w:tbl>
      <w:tblPr>
        <w:tblW w:type="pct" w:w="5000"/>
        <w:jc w:val="left"/>
        <w:tblLook w:firstColumn="1" w:firstRow="1" w:lastColumn="0" w:lastRow="0" w:noHBand="0" w:noVBand="1" w:val="04A0"/>
      </w:tblPr>
      <w:tblGrid>
        <w:gridCol w:w="2520"/>
        <w:gridCol w:w="2520"/>
        <w:gridCol w:w="2520"/>
        <w:gridCol w:w="2520"/>
      </w:tblGrid>
      <w:tr>
        <w:tc>
          <w:tcPr>
            <w:tcW w:type="dxa" w:w="2520"/>
            <w:vAlign w:val="center"/>
            <w:tcMar>
              <w:top w:w="72" w:type="dxa"/>
              <w:bottom w:w="72" w:type="dxa"/>
              <w:left w:w="72" w:type="dxa"/>
              <w:right w:w="72" w:type="dxa"/>
            </w:tcMar>
            <w:shd w:fill="F2F2F2" w:val="clear" w:color="auto"/>
            <w:tcBorders>
              <w:top w:val="single" w:sz="1" w:space="0" w:color="C0C0C0"/>
              <w:bottom w:val="single" w:sz="1" w:space="0" w:color="C0C0C0"/>
              <w:left w:val="single" w:sz="1" w:space="0" w:color="C0C0C0"/>
              <w:right w:val="single" w:sz="1" w:space="0" w:color="C0C0C0"/>
            </w:tcBorders>
          </w:tcPr>
          <w:p>
            <w:pPr>
              <w:spacing w:before="0" w:after="0"/>
              <w:jc w:val="center"/>
            </w:pPr>
            <w:r>
              <w:rPr>
                <w:rFonts w:ascii="Arial" w:hAnsi="Arial"/>
                <w:b/>
                <w:color w:val="333333"/>
                <w:sz w:val="18"/>
              </w:rPr>
              <w:t>Nation-State Espionage</w:t>
            </w:r>
          </w:p>
          <w:p>
            <w:pPr>
              <w:spacing w:before="0" w:after="0"/>
              <w:jc w:val="center"/>
            </w:pPr>
            <w:r>
              <w:rPr>
                <w:rFonts w:ascii="Arial" w:hAnsi="Arial"/>
                <w:b/>
                <w:color w:val="F47F7D"/>
                <w:sz w:val="28"/>
              </w:rPr>
              <w:t>HIGH</w:t>
            </w:r>
          </w:p>
          <w:p>
            <w:pPr>
              <w:spacing w:before="0" w:after="0"/>
              <w:jc w:val="center"/>
            </w:pPr>
            <w:r>
              <w:rPr>
                <w:rFonts w:ascii="Arial" w:hAnsi="Arial"/>
                <w:color w:val="333333"/>
                <w:sz w:val="16"/>
              </w:rPr>
              <w:t>vs Q1: Unchanged</w:t>
            </w:r>
          </w:p>
        </w:tc>
        <w:tc>
          <w:tcPr>
            <w:tcW w:type="dxa" w:w="2520"/>
            <w:vAlign w:val="center"/>
            <w:tcMar>
              <w:top w:w="72" w:type="dxa"/>
              <w:bottom w:w="72" w:type="dxa"/>
              <w:left w:w="72" w:type="dxa"/>
              <w:right w:w="72" w:type="dxa"/>
            </w:tcMar>
            <w:shd w:fill="F2F2F2" w:val="clear" w:color="auto"/>
            <w:tcBorders>
              <w:top w:val="single" w:sz="1" w:space="0" w:color="C0C0C0"/>
              <w:bottom w:val="single" w:sz="1" w:space="0" w:color="C0C0C0"/>
              <w:left w:val="single" w:sz="1" w:space="0" w:color="C0C0C0"/>
              <w:right w:val="single" w:sz="1" w:space="0" w:color="C0C0C0"/>
            </w:tcBorders>
          </w:tcPr>
          <w:p>
            <w:pPr>
              <w:spacing w:before="0" w:after="0"/>
              <w:jc w:val="center"/>
            </w:pPr>
            <w:r>
              <w:rPr>
                <w:rFonts w:ascii="Arial" w:hAnsi="Arial"/>
                <w:b/>
                <w:color w:val="333333"/>
                <w:sz w:val="18"/>
              </w:rPr>
              <w:t>Ransomware &amp; Extortion</w:t>
            </w:r>
          </w:p>
          <w:p>
            <w:pPr>
              <w:spacing w:before="0" w:after="0"/>
              <w:jc w:val="center"/>
            </w:pPr>
            <w:r>
              <w:rPr>
                <w:rFonts w:ascii="Arial" w:hAnsi="Arial"/>
                <w:b/>
                <w:color w:val="F47F7D"/>
                <w:sz w:val="28"/>
              </w:rPr>
              <w:t>HIGH</w:t>
            </w:r>
          </w:p>
          <w:p>
            <w:pPr>
              <w:spacing w:before="0" w:after="0"/>
              <w:jc w:val="center"/>
            </w:pPr>
            <w:r>
              <w:rPr>
                <w:rFonts w:ascii="Arial" w:hAnsi="Arial"/>
                <w:color w:val="F47F7D"/>
                <w:sz w:val="16"/>
              </w:rPr>
              <w:t>vs Q1: +14%</w:t>
            </w:r>
          </w:p>
        </w:tc>
        <w:tc>
          <w:tcPr>
            <w:tcW w:type="dxa" w:w="2520"/>
            <w:vAlign w:val="center"/>
            <w:tcMar>
              <w:top w:w="72" w:type="dxa"/>
              <w:bottom w:w="72" w:type="dxa"/>
              <w:left w:w="72" w:type="dxa"/>
              <w:right w:w="72" w:type="dxa"/>
            </w:tcMar>
            <w:shd w:fill="F2F2F2" w:val="clear" w:color="auto"/>
            <w:tcBorders>
              <w:top w:val="single" w:sz="1" w:space="0" w:color="C0C0C0"/>
              <w:bottom w:val="single" w:sz="1" w:space="0" w:color="C0C0C0"/>
              <w:left w:val="single" w:sz="1" w:space="0" w:color="C0C0C0"/>
              <w:right w:val="single" w:sz="1" w:space="0" w:color="C0C0C0"/>
            </w:tcBorders>
          </w:tcPr>
          <w:p>
            <w:pPr>
              <w:spacing w:before="0" w:after="0"/>
              <w:jc w:val="center"/>
            </w:pPr>
            <w:r>
              <w:rPr>
                <w:rFonts w:ascii="Arial" w:hAnsi="Arial"/>
                <w:b/>
                <w:color w:val="333333"/>
                <w:sz w:val="18"/>
              </w:rPr>
              <w:t>Supply Chain Compromise</w:t>
            </w:r>
          </w:p>
          <w:p>
            <w:pPr>
              <w:spacing w:before="0" w:after="0"/>
              <w:jc w:val="center"/>
            </w:pPr>
            <w:r>
              <w:rPr>
                <w:rFonts w:ascii="Arial" w:hAnsi="Arial"/>
                <w:b/>
                <w:color w:val="FFA500"/>
                <w:sz w:val="28"/>
              </w:rPr>
              <w:t>MEDIUM</w:t>
            </w:r>
          </w:p>
          <w:p>
            <w:pPr>
              <w:spacing w:before="0" w:after="0"/>
              <w:jc w:val="center"/>
            </w:pPr>
            <w:r>
              <w:rPr>
                <w:rFonts w:ascii="Arial" w:hAnsi="Arial"/>
                <w:color w:val="333333"/>
                <w:sz w:val="16"/>
              </w:rPr>
              <w:t>vs Q1: Unchanged</w:t>
            </w:r>
          </w:p>
        </w:tc>
        <w:tc>
          <w:tcPr>
            <w:tcW w:type="dxa" w:w="2520"/>
            <w:vAlign w:val="center"/>
            <w:tcMar>
              <w:top w:w="72" w:type="dxa"/>
              <w:bottom w:w="72" w:type="dxa"/>
              <w:left w:w="72" w:type="dxa"/>
              <w:right w:w="72" w:type="dxa"/>
            </w:tcMar>
            <w:shd w:fill="F2F2F2" w:val="clear" w:color="auto"/>
            <w:tcBorders>
              <w:top w:val="single" w:sz="1" w:space="0" w:color="C0C0C0"/>
              <w:bottom w:val="single" w:sz="1" w:space="0" w:color="C0C0C0"/>
              <w:left w:val="single" w:sz="1" w:space="0" w:color="C0C0C0"/>
              <w:right w:val="single" w:sz="1" w:space="0" w:color="C0C0C0"/>
            </w:tcBorders>
          </w:tcPr>
          <w:p>
            <w:pPr>
              <w:spacing w:before="0" w:after="0"/>
              <w:jc w:val="center"/>
            </w:pPr>
            <w:r>
              <w:rPr>
                <w:rFonts w:ascii="Arial" w:hAnsi="Arial"/>
                <w:b/>
                <w:color w:val="333333"/>
                <w:sz w:val="18"/>
              </w:rPr>
              <w:t>Insider Threat</w:t>
            </w:r>
          </w:p>
          <w:p>
            <w:pPr>
              <w:spacing w:before="0" w:after="0"/>
              <w:jc w:val="center"/>
            </w:pPr>
            <w:r>
              <w:rPr>
                <w:rFonts w:ascii="Arial" w:hAnsi="Arial"/>
                <w:b/>
                <w:color w:val="FFA500"/>
                <w:sz w:val="28"/>
              </w:rPr>
              <w:t>MEDIUM</w:t>
            </w:r>
          </w:p>
          <w:p>
            <w:pPr>
              <w:spacing w:before="0" w:after="0"/>
              <w:jc w:val="center"/>
            </w:pPr>
            <w:r>
              <w:rPr>
                <w:rFonts w:ascii="Arial" w:hAnsi="Arial"/>
                <w:color w:val="333333"/>
                <w:sz w:val="16"/>
              </w:rPr>
              <w:t>vs Q1: Unchanged</w:t>
            </w:r>
          </w:p>
        </w:tc>
      </w:tr>
    </w:tbl>
    <w:p/>
    <w:p>
      <w:pPr>
        <w:pStyle w:val="Heading1"/>
        <w:spacing w:before="240" w:after="120"/>
      </w:pPr>
      <w:r>
        <w:rPr>
          <w:rFonts w:ascii="Arial" w:hAnsi="Arial"/>
          <w:color w:val="E65100"/>
          <w:sz w:val="28"/>
        </w:rPr>
        <w:t>Industry Breach Landscape</w:t>
      </w:r>
    </w:p>
    <w:p>
      <w:r>
        <w:rPr>
          <w:rFonts w:ascii="Arial" w:hAnsi="Arial"/>
          <w:i/>
          <w:color w:val="666666"/>
          <w:sz w:val="18"/>
        </w:rPr>
        <w:t>Publicly disclosed security incidents affecting life sciences, pharmaceutical, biotechnology, healthcare, and advanced manufacturing organizations during Q2 2026.</w:t>
      </w:r>
    </w:p>
    <w:p/>
    <w:tbl>
      <w:tblPr>
        <w:tblW w:type="pct" w:w="5000"/>
        <w:jc w:val="left"/>
        <w:tblLook w:firstColumn="1" w:firstRow="1" w:lastColumn="0" w:lastRow="0" w:noHBand="0" w:noVBand="1" w:val="04A0"/>
      </w:tblPr>
      <w:tblGrid>
        <w:gridCol w:w="2520"/>
        <w:gridCol w:w="2520"/>
        <w:gridCol w:w="2520"/>
        <w:gridCol w:w="2520"/>
      </w:tblGrid>
      <w:tr>
        <w:tc>
          <w:tcPr>
            <w:tcW w:type="dxa" w:w="2520"/>
            <w:vAlign w:val="center"/>
            <w:tcMar>
              <w:top w:w="72" w:type="dxa"/>
              <w:bottom w:w="72" w:type="dxa"/>
              <w:left w:w="72" w:type="dxa"/>
              <w:right w:w="72" w:type="dxa"/>
            </w:tcMar>
            <w:shd w:fill="372E00" w:val="clear" w:color="auto"/>
            <w:tcBorders>
              <w:top w:val="single" w:sz="1" w:space="0" w:color="C0C0C0"/>
              <w:bottom w:val="single" w:sz="1" w:space="0" w:color="C0C0C0"/>
              <w:left w:val="single" w:sz="1" w:space="0" w:color="C0C0C0"/>
              <w:right w:val="single" w:sz="1" w:space="0" w:color="C0C0C0"/>
            </w:tcBorders>
          </w:tcPr>
          <w:p>
            <w:pPr>
              <w:spacing w:before="0" w:after="0"/>
              <w:jc w:val="center"/>
            </w:pPr>
            <w:r>
              <w:rPr>
                <w:rFonts w:ascii="Arial" w:hAnsi="Arial"/>
                <w:b/>
                <w:color w:val="F0F0F0"/>
                <w:sz w:val="36"/>
              </w:rPr>
              <w:t>20</w:t>
            </w:r>
          </w:p>
          <w:p>
            <w:pPr>
              <w:spacing w:before="0" w:after="0"/>
              <w:jc w:val="center"/>
            </w:pPr>
            <w:r>
              <w:rPr>
                <w:rFonts w:ascii="Arial" w:hAnsi="Arial"/>
                <w:b/>
                <w:color w:val="F0F0F0"/>
                <w:sz w:val="17"/>
              </w:rPr>
              <w:t>Total Incidents</w:t>
            </w:r>
          </w:p>
          <w:p>
            <w:pPr>
              <w:spacing w:before="0" w:after="0"/>
              <w:jc w:val="center"/>
            </w:pPr>
            <w:r>
              <w:rPr>
                <w:rFonts w:ascii="Arial" w:hAnsi="Arial"/>
                <w:color w:val="F0F0F0"/>
                <w:sz w:val="14"/>
              </w:rPr>
              <w:t xml:space="preserve">Q1 2026: 18 </w:t>
            </w:r>
            <w:r>
              <w:rPr>
                <w:rFonts w:ascii="Arial" w:hAnsi="Arial"/>
                <w:color w:val="E65100"/>
                <w:sz w:val="14"/>
              </w:rPr>
              <w:t>+11%</w:t>
            </w:r>
          </w:p>
        </w:tc>
        <w:tc>
          <w:tcPr>
            <w:tcW w:type="dxa" w:w="2520"/>
            <w:vAlign w:val="center"/>
            <w:tcMar>
              <w:top w:w="72" w:type="dxa"/>
              <w:bottom w:w="72" w:type="dxa"/>
              <w:left w:w="72" w:type="dxa"/>
              <w:right w:w="72" w:type="dxa"/>
            </w:tcMar>
            <w:shd w:fill="372E00" w:val="clear" w:color="auto"/>
            <w:tcBorders>
              <w:top w:val="single" w:sz="1" w:space="0" w:color="C0C0C0"/>
              <w:bottom w:val="single" w:sz="1" w:space="0" w:color="C0C0C0"/>
              <w:left w:val="single" w:sz="1" w:space="0" w:color="C0C0C0"/>
              <w:right w:val="single" w:sz="1" w:space="0" w:color="C0C0C0"/>
            </w:tcBorders>
          </w:tcPr>
          <w:p>
            <w:pPr>
              <w:spacing w:before="0" w:after="0"/>
              <w:jc w:val="center"/>
            </w:pPr>
            <w:r>
              <w:rPr>
                <w:rFonts w:ascii="Arial" w:hAnsi="Arial"/>
                <w:b/>
                <w:color w:val="F0F0F0"/>
                <w:sz w:val="36"/>
              </w:rPr>
              <w:t>$120M</w:t>
            </w:r>
          </w:p>
          <w:p>
            <w:pPr>
              <w:spacing w:before="0" w:after="0"/>
              <w:jc w:val="center"/>
            </w:pPr>
            <w:r>
              <w:rPr>
                <w:rFonts w:ascii="Arial" w:hAnsi="Arial"/>
                <w:b/>
                <w:color w:val="F0F0F0"/>
                <w:sz w:val="17"/>
              </w:rPr>
              <w:t>Est. Total Impact</w:t>
            </w:r>
          </w:p>
          <w:p>
            <w:pPr>
              <w:spacing w:before="0" w:after="0"/>
              <w:jc w:val="center"/>
            </w:pPr>
            <w:r>
              <w:rPr>
                <w:rFonts w:ascii="Arial" w:hAnsi="Arial"/>
                <w:color w:val="F0F0F0"/>
                <w:sz w:val="14"/>
              </w:rPr>
              <w:t xml:space="preserve">Q1 2026: $105M </w:t>
            </w:r>
            <w:r>
              <w:rPr>
                <w:rFonts w:ascii="Arial" w:hAnsi="Arial"/>
                <w:color w:val="E65100"/>
                <w:sz w:val="14"/>
              </w:rPr>
              <w:t>+14%</w:t>
            </w:r>
          </w:p>
        </w:tc>
        <w:tc>
          <w:tcPr>
            <w:tcW w:type="dxa" w:w="2520"/>
            <w:vAlign w:val="center"/>
            <w:tcMar>
              <w:top w:w="72" w:type="dxa"/>
              <w:bottom w:w="72" w:type="dxa"/>
              <w:left w:w="72" w:type="dxa"/>
              <w:right w:w="72" w:type="dxa"/>
            </w:tcMar>
            <w:shd w:fill="372E00" w:val="clear" w:color="auto"/>
            <w:tcBorders>
              <w:top w:val="single" w:sz="1" w:space="0" w:color="C0C0C0"/>
              <w:bottom w:val="single" w:sz="1" w:space="0" w:color="C0C0C0"/>
              <w:left w:val="single" w:sz="1" w:space="0" w:color="C0C0C0"/>
              <w:right w:val="single" w:sz="1" w:space="0" w:color="C0C0C0"/>
            </w:tcBorders>
          </w:tcPr>
          <w:p>
            <w:pPr>
              <w:spacing w:before="0" w:after="0"/>
              <w:jc w:val="center"/>
            </w:pPr>
            <w:r>
              <w:rPr>
                <w:rFonts w:ascii="Arial" w:hAnsi="Arial"/>
                <w:b/>
                <w:color w:val="F0F0F0"/>
                <w:sz w:val="36"/>
              </w:rPr>
              <w:t>8</w:t>
            </w:r>
          </w:p>
          <w:p>
            <w:pPr>
              <w:spacing w:before="0" w:after="0"/>
              <w:jc w:val="center"/>
            </w:pPr>
            <w:r>
              <w:rPr>
                <w:rFonts w:ascii="Arial" w:hAnsi="Arial"/>
                <w:b/>
                <w:color w:val="F0F0F0"/>
                <w:sz w:val="17"/>
              </w:rPr>
              <w:t>Ransomware</w:t>
            </w:r>
          </w:p>
          <w:p>
            <w:pPr>
              <w:spacing w:before="0" w:after="0"/>
              <w:jc w:val="center"/>
            </w:pPr>
            <w:r>
              <w:rPr>
                <w:rFonts w:ascii="Arial" w:hAnsi="Arial"/>
                <w:color w:val="F0F0F0"/>
                <w:sz w:val="14"/>
              </w:rPr>
              <w:t xml:space="preserve">Q1 2026: 7 </w:t>
            </w:r>
            <w:r>
              <w:rPr>
                <w:rFonts w:ascii="Arial" w:hAnsi="Arial"/>
                <w:color w:val="E65100"/>
                <w:sz w:val="14"/>
              </w:rPr>
              <w:t>+14%</w:t>
            </w:r>
          </w:p>
        </w:tc>
        <w:tc>
          <w:tcPr>
            <w:tcW w:type="dxa" w:w="2520"/>
            <w:vAlign w:val="center"/>
            <w:tcMar>
              <w:top w:w="72" w:type="dxa"/>
              <w:bottom w:w="72" w:type="dxa"/>
              <w:left w:w="72" w:type="dxa"/>
              <w:right w:w="72" w:type="dxa"/>
            </w:tcMar>
            <w:shd w:fill="372E00" w:val="clear" w:color="auto"/>
            <w:tcBorders>
              <w:top w:val="single" w:sz="1" w:space="0" w:color="C0C0C0"/>
              <w:bottom w:val="single" w:sz="1" w:space="0" w:color="C0C0C0"/>
              <w:left w:val="single" w:sz="1" w:space="0" w:color="C0C0C0"/>
              <w:right w:val="single" w:sz="1" w:space="0" w:color="C0C0C0"/>
            </w:tcBorders>
          </w:tcPr>
          <w:p>
            <w:pPr>
              <w:spacing w:before="0" w:after="0"/>
              <w:jc w:val="center"/>
            </w:pPr>
            <w:r>
              <w:rPr>
                <w:rFonts w:ascii="Arial" w:hAnsi="Arial"/>
                <w:b/>
                <w:color w:val="F0F0F0"/>
                <w:sz w:val="36"/>
              </w:rPr>
              <w:t>5.2M</w:t>
            </w:r>
          </w:p>
          <w:p>
            <w:pPr>
              <w:spacing w:before="0" w:after="0"/>
              <w:jc w:val="center"/>
            </w:pPr>
            <w:r>
              <w:rPr>
                <w:rFonts w:ascii="Arial" w:hAnsi="Arial"/>
                <w:b/>
                <w:color w:val="F0F0F0"/>
                <w:sz w:val="17"/>
              </w:rPr>
              <w:t>Records Exposed</w:t>
            </w:r>
          </w:p>
          <w:p>
            <w:pPr>
              <w:spacing w:before="0" w:after="0"/>
              <w:jc w:val="center"/>
            </w:pPr>
            <w:r>
              <w:rPr>
                <w:rFonts w:ascii="Arial" w:hAnsi="Arial"/>
                <w:color w:val="F0F0F0"/>
                <w:sz w:val="14"/>
              </w:rPr>
              <w:t xml:space="preserve">Q1 2026: 4.7M </w:t>
            </w:r>
            <w:r>
              <w:rPr>
                <w:rFonts w:ascii="Arial" w:hAnsi="Arial"/>
                <w:color w:val="E65100"/>
                <w:sz w:val="14"/>
              </w:rPr>
              <w:t>+10%</w:t>
            </w:r>
          </w:p>
        </w:tc>
      </w:tr>
    </w:tbl>
    <w:p/>
    <w:p>
      <w:pPr>
        <w:pStyle w:val="Heading2"/>
        <w:spacing w:after="120"/>
      </w:pPr>
      <w:r>
        <w:rPr>
          <w:rFonts w:ascii="Arial" w:hAnsi="Arial"/>
          <w:color w:val="000000"/>
          <w:sz w:val="24"/>
        </w:rPr>
        <w:t>Incidents by Type</w:t>
      </w:r>
    </w:p>
    <w:tbl>
      <w:tblPr>
        <w:tblW w:type="auto" w:w="0"/>
        <w:tblLook w:firstColumn="1" w:firstRow="1" w:lastColumn="0" w:lastRow="0" w:noHBand="0" w:noVBand="1" w:val="04A0"/>
      </w:tblPr>
      <w:tblGrid>
        <w:gridCol w:w="2160"/>
        <w:gridCol w:w="720"/>
        <w:gridCol w:w="720"/>
        <w:gridCol w:w="6480"/>
      </w:tblGrid>
      <w:tr>
        <w:tc>
          <w:tcPr>
            <w:tcW w:type="dxa" w:w="2520"/>
            <w:shd w:fill="E65100" w:val="clear" w:color="auto"/>
            <w:tcBorders>
              <w:top w:val="single" w:sz="1" w:space="0" w:color="C0C0C0"/>
              <w:bottom w:val="single" w:sz="1" w:space="0" w:color="C0C0C0"/>
              <w:left w:val="single" w:sz="1" w:space="0" w:color="C0C0C0"/>
              <w:right w:val="single" w:sz="1" w:space="0" w:color="C0C0C0"/>
            </w:tcBorders>
          </w:tcPr>
          <w:p>
            <w:pPr>
              <w:jc w:val="center"/>
            </w:pPr>
            <w:r>
              <w:rPr>
                <w:rFonts w:ascii="Arial" w:hAnsi="Arial"/>
                <w:b/>
                <w:color w:val="FFFFFF"/>
                <w:sz w:val="22"/>
              </w:rPr>
              <w:t>Incident Type</w:t>
            </w:r>
          </w:p>
        </w:tc>
        <w:tc>
          <w:tcPr>
            <w:tcW w:type="dxa" w:w="2520"/>
            <w:vAlign w:val="center"/>
            <w:shd w:fill="E65100" w:val="clear" w:color="auto"/>
            <w:tcBorders>
              <w:top w:val="single" w:sz="1" w:space="0" w:color="C0C0C0"/>
              <w:bottom w:val="single" w:sz="1" w:space="0" w:color="C0C0C0"/>
              <w:left w:val="single" w:sz="1" w:space="0" w:color="C0C0C0"/>
              <w:right w:val="single" w:sz="1" w:space="0" w:color="C0C0C0"/>
            </w:tcBorders>
          </w:tcPr>
          <w:p>
            <w:pPr>
              <w:jc w:val="center"/>
            </w:pPr>
            <w:r>
              <w:rPr>
                <w:rFonts w:ascii="Arial" w:hAnsi="Arial"/>
                <w:b/>
                <w:color w:val="FFFFFF"/>
                <w:sz w:val="22"/>
              </w:rPr>
              <w:t>Q1 2026</w:t>
            </w:r>
          </w:p>
        </w:tc>
        <w:tc>
          <w:tcPr>
            <w:tcW w:type="dxa" w:w="2520"/>
            <w:vAlign w:val="center"/>
            <w:shd w:fill="E65100" w:val="clear" w:color="auto"/>
            <w:tcBorders>
              <w:top w:val="single" w:sz="1" w:space="0" w:color="C0C0C0"/>
              <w:bottom w:val="single" w:sz="1" w:space="0" w:color="C0C0C0"/>
              <w:left w:val="single" w:sz="1" w:space="0" w:color="C0C0C0"/>
              <w:right w:val="single" w:sz="1" w:space="0" w:color="C0C0C0"/>
            </w:tcBorders>
          </w:tcPr>
          <w:p>
            <w:pPr>
              <w:jc w:val="center"/>
            </w:pPr>
            <w:r>
              <w:rPr>
                <w:rFonts w:ascii="Arial" w:hAnsi="Arial"/>
                <w:b/>
                <w:color w:val="FFFFFF"/>
                <w:sz w:val="22"/>
              </w:rPr>
              <w:t>Q4 2025</w:t>
            </w:r>
          </w:p>
        </w:tc>
        <w:tc>
          <w:tcPr>
            <w:tcW w:type="dxa" w:w="2520"/>
            <w:shd w:fill="E65100" w:val="clear" w:color="auto"/>
            <w:tcBorders>
              <w:top w:val="single" w:sz="1" w:space="0" w:color="C0C0C0"/>
              <w:bottom w:val="single" w:sz="1" w:space="0" w:color="C0C0C0"/>
              <w:left w:val="single" w:sz="1" w:space="0" w:color="C0C0C0"/>
              <w:right w:val="single" w:sz="1" w:space="0" w:color="C0C0C0"/>
            </w:tcBorders>
          </w:tcPr>
          <w:p>
            <w:pPr>
              <w:jc w:val="center"/>
            </w:pPr>
            <w:r>
              <w:rPr>
                <w:rFonts w:ascii="Arial" w:hAnsi="Arial"/>
                <w:b/>
                <w:color w:val="FFFFFF"/>
                <w:sz w:val="22"/>
              </w:rPr>
              <w:t>Notable Example</w:t>
            </w:r>
          </w:p>
        </w:tc>
      </w:tr>
      <w:tr>
        <w:tc>
          <w:tcPr>
            <w:tcW w:type="dxa" w:w="2160"/>
            <w:tcBorders>
              <w:top w:val="single" w:sz="1" w:space="0" w:color="C0C0C0"/>
              <w:bottom w:val="single" w:sz="1" w:space="0" w:color="C0C0C0"/>
              <w:left w:val="single" w:sz="1" w:space="0" w:color="C0C0C0"/>
              <w:right w:val="single" w:sz="1" w:space="0" w:color="C0C0C0"/>
            </w:tcBorders>
          </w:tcPr>
          <w:p>
            <w:pPr>
              <w:jc w:val="left"/>
            </w:pPr>
            <w:r>
              <w:rPr>
                <w:rFonts w:ascii="Arial" w:hAnsi="Arial"/>
                <w:b w:val="0"/>
                <w:i w:val="0"/>
                <w:sz w:val="22"/>
              </w:rPr>
              <w:t>Ransomware</w:t>
            </w:r>
          </w:p>
        </w:tc>
        <w:tc>
          <w:tcPr>
            <w:tcW w:type="dxa" w:w="720"/>
            <w:vAlign w:val="center"/>
            <w:tcBorders>
              <w:top w:val="single" w:sz="1" w:space="0" w:color="C0C0C0"/>
              <w:bottom w:val="single" w:sz="1" w:space="0" w:color="C0C0C0"/>
              <w:left w:val="single" w:sz="1" w:space="0" w:color="C0C0C0"/>
              <w:right w:val="single" w:sz="1" w:space="0" w:color="C0C0C0"/>
            </w:tcBorders>
          </w:tcPr>
          <w:p>
            <w:pPr>
              <w:jc w:val="center"/>
            </w:pPr>
            <w:r>
              <w:rPr>
                <w:rFonts w:ascii="Arial" w:hAnsi="Arial"/>
                <w:b/>
                <w:i w:val="0"/>
                <w:sz w:val="22"/>
              </w:rPr>
              <w:t>8</w:t>
            </w:r>
          </w:p>
        </w:tc>
        <w:tc>
          <w:tcPr>
            <w:tcW w:type="dxa" w:w="720"/>
            <w:vAlign w:val="center"/>
            <w:tcBorders>
              <w:top w:val="single" w:sz="1" w:space="0" w:color="C0C0C0"/>
              <w:bottom w:val="single" w:sz="1" w:space="0" w:color="C0C0C0"/>
              <w:left w:val="single" w:sz="1" w:space="0" w:color="C0C0C0"/>
              <w:right w:val="single" w:sz="1" w:space="0" w:color="C0C0C0"/>
            </w:tcBorders>
          </w:tcPr>
          <w:p>
            <w:pPr>
              <w:jc w:val="center"/>
            </w:pPr>
            <w:r>
              <w:rPr>
                <w:rFonts w:ascii="Arial" w:hAnsi="Arial"/>
                <w:b w:val="0"/>
                <w:i w:val="0"/>
                <w:color w:val="666666"/>
                <w:sz w:val="22"/>
              </w:rPr>
              <w:t>7</w:t>
            </w:r>
          </w:p>
        </w:tc>
        <w:tc>
          <w:tcPr>
            <w:tcW w:type="dxa" w:w="6480"/>
            <w:tcBorders>
              <w:top w:val="single" w:sz="1" w:space="0" w:color="C0C0C0"/>
              <w:bottom w:val="single" w:sz="1" w:space="0" w:color="C0C0C0"/>
              <w:left w:val="single" w:sz="1" w:space="0" w:color="C0C0C0"/>
              <w:right w:val="single" w:sz="1" w:space="0" w:color="C0C0C0"/>
            </w:tcBorders>
          </w:tcPr>
          <w:p>
            <w:pPr>
              <w:jc w:val="left"/>
            </w:pPr>
            <w:r>
              <w:rPr>
                <w:rFonts w:ascii="Arial" w:hAnsi="Arial"/>
                <w:b w:val="0"/>
                <w:i/>
                <w:color w:val="555555"/>
                <w:sz w:val="20"/>
              </w:rPr>
              <w:t>A leading pharmaceutical manufacturer suffered a ransomware attack that disrupted production and led to regulatory notification obligations.</w:t>
            </w:r>
          </w:p>
        </w:tc>
      </w:tr>
      <w:tr>
        <w:tc>
          <w:tcPr>
            <w:tcW w:type="dxa" w:w="2160"/>
            <w:tcBorders>
              <w:top w:val="single" w:sz="1" w:space="0" w:color="C0C0C0"/>
              <w:bottom w:val="single" w:sz="1" w:space="0" w:color="C0C0C0"/>
              <w:left w:val="single" w:sz="1" w:space="0" w:color="C0C0C0"/>
              <w:right w:val="single" w:sz="1" w:space="0" w:color="C0C0C0"/>
            </w:tcBorders>
          </w:tcPr>
          <w:p>
            <w:pPr>
              <w:jc w:val="left"/>
            </w:pPr>
            <w:r>
              <w:rPr>
                <w:rFonts w:ascii="Arial" w:hAnsi="Arial"/>
                <w:b w:val="0"/>
                <w:i w:val="0"/>
                <w:sz w:val="22"/>
              </w:rPr>
              <w:t>Extortion/Access Broker</w:t>
            </w:r>
          </w:p>
        </w:tc>
        <w:tc>
          <w:tcPr>
            <w:tcW w:type="dxa" w:w="720"/>
            <w:vAlign w:val="center"/>
            <w:tcBorders>
              <w:top w:val="single" w:sz="1" w:space="0" w:color="C0C0C0"/>
              <w:bottom w:val="single" w:sz="1" w:space="0" w:color="C0C0C0"/>
              <w:left w:val="single" w:sz="1" w:space="0" w:color="C0C0C0"/>
              <w:right w:val="single" w:sz="1" w:space="0" w:color="C0C0C0"/>
            </w:tcBorders>
          </w:tcPr>
          <w:p>
            <w:pPr>
              <w:jc w:val="center"/>
            </w:pPr>
            <w:r>
              <w:rPr>
                <w:rFonts w:ascii="Arial" w:hAnsi="Arial"/>
                <w:b/>
                <w:i w:val="0"/>
                <w:sz w:val="22"/>
              </w:rPr>
              <w:t>10</w:t>
            </w:r>
          </w:p>
        </w:tc>
        <w:tc>
          <w:tcPr>
            <w:tcW w:type="dxa" w:w="720"/>
            <w:vAlign w:val="center"/>
            <w:tcBorders>
              <w:top w:val="single" w:sz="1" w:space="0" w:color="C0C0C0"/>
              <w:bottom w:val="single" w:sz="1" w:space="0" w:color="C0C0C0"/>
              <w:left w:val="single" w:sz="1" w:space="0" w:color="C0C0C0"/>
              <w:right w:val="single" w:sz="1" w:space="0" w:color="C0C0C0"/>
            </w:tcBorders>
          </w:tcPr>
          <w:p>
            <w:pPr>
              <w:jc w:val="center"/>
            </w:pPr>
            <w:r>
              <w:rPr>
                <w:rFonts w:ascii="Arial" w:hAnsi="Arial"/>
                <w:b w:val="0"/>
                <w:i w:val="0"/>
                <w:color w:val="666666"/>
                <w:sz w:val="22"/>
              </w:rPr>
              <w:t>9</w:t>
            </w:r>
          </w:p>
        </w:tc>
        <w:tc>
          <w:tcPr>
            <w:tcW w:type="dxa" w:w="6480"/>
            <w:tcBorders>
              <w:top w:val="single" w:sz="1" w:space="0" w:color="C0C0C0"/>
              <w:bottom w:val="single" w:sz="1" w:space="0" w:color="C0C0C0"/>
              <w:left w:val="single" w:sz="1" w:space="0" w:color="C0C0C0"/>
              <w:right w:val="single" w:sz="1" w:space="0" w:color="C0C0C0"/>
            </w:tcBorders>
          </w:tcPr>
          <w:p>
            <w:pPr>
              <w:jc w:val="left"/>
            </w:pPr>
            <w:r>
              <w:rPr>
                <w:rFonts w:ascii="Arial" w:hAnsi="Arial"/>
                <w:b w:val="0"/>
                <w:i/>
                <w:color w:val="555555"/>
                <w:sz w:val="20"/>
              </w:rPr>
              <w:t>Multiple incidents involved initial access brokers selling credentials for healthcare and technology firms, leading to subsequent extortion attempts.</w:t>
            </w:r>
          </w:p>
        </w:tc>
      </w:tr>
      <w:tr>
        <w:tc>
          <w:tcPr>
            <w:tcW w:type="dxa" w:w="2160"/>
            <w:tcBorders>
              <w:top w:val="single" w:sz="1" w:space="0" w:color="C0C0C0"/>
              <w:bottom w:val="single" w:sz="1" w:space="0" w:color="C0C0C0"/>
              <w:left w:val="single" w:sz="1" w:space="0" w:color="C0C0C0"/>
              <w:right w:val="single" w:sz="1" w:space="0" w:color="C0C0C0"/>
            </w:tcBorders>
          </w:tcPr>
          <w:p>
            <w:pPr>
              <w:jc w:val="left"/>
            </w:pPr>
            <w:r>
              <w:rPr>
                <w:rFonts w:ascii="Arial" w:hAnsi="Arial"/>
                <w:b w:val="0"/>
                <w:i w:val="0"/>
                <w:sz w:val="22"/>
              </w:rPr>
              <w:t>Insider</w:t>
            </w:r>
          </w:p>
        </w:tc>
        <w:tc>
          <w:tcPr>
            <w:tcW w:type="dxa" w:w="720"/>
            <w:vAlign w:val="center"/>
            <w:tcBorders>
              <w:top w:val="single" w:sz="1" w:space="0" w:color="C0C0C0"/>
              <w:bottom w:val="single" w:sz="1" w:space="0" w:color="C0C0C0"/>
              <w:left w:val="single" w:sz="1" w:space="0" w:color="C0C0C0"/>
              <w:right w:val="single" w:sz="1" w:space="0" w:color="C0C0C0"/>
            </w:tcBorders>
          </w:tcPr>
          <w:p>
            <w:pPr>
              <w:jc w:val="center"/>
            </w:pPr>
            <w:r>
              <w:rPr>
                <w:rFonts w:ascii="Arial" w:hAnsi="Arial"/>
                <w:b/>
                <w:i w:val="0"/>
                <w:sz w:val="22"/>
              </w:rPr>
              <w:t>2</w:t>
            </w:r>
          </w:p>
        </w:tc>
        <w:tc>
          <w:tcPr>
            <w:tcW w:type="dxa" w:w="720"/>
            <w:vAlign w:val="center"/>
            <w:tcBorders>
              <w:top w:val="single" w:sz="1" w:space="0" w:color="C0C0C0"/>
              <w:bottom w:val="single" w:sz="1" w:space="0" w:color="C0C0C0"/>
              <w:left w:val="single" w:sz="1" w:space="0" w:color="C0C0C0"/>
              <w:right w:val="single" w:sz="1" w:space="0" w:color="C0C0C0"/>
            </w:tcBorders>
          </w:tcPr>
          <w:p>
            <w:pPr>
              <w:jc w:val="center"/>
            </w:pPr>
            <w:r>
              <w:rPr>
                <w:rFonts w:ascii="Arial" w:hAnsi="Arial"/>
                <w:b w:val="0"/>
                <w:i w:val="0"/>
                <w:color w:val="666666"/>
                <w:sz w:val="22"/>
              </w:rPr>
              <w:t>2</w:t>
            </w:r>
          </w:p>
        </w:tc>
        <w:tc>
          <w:tcPr>
            <w:tcW w:type="dxa" w:w="6480"/>
            <w:tcBorders>
              <w:top w:val="single" w:sz="1" w:space="0" w:color="C0C0C0"/>
              <w:bottom w:val="single" w:sz="1" w:space="0" w:color="C0C0C0"/>
              <w:left w:val="single" w:sz="1" w:space="0" w:color="C0C0C0"/>
              <w:right w:val="single" w:sz="1" w:space="0" w:color="C0C0C0"/>
            </w:tcBorders>
          </w:tcPr>
          <w:p>
            <w:pPr>
              <w:jc w:val="left"/>
            </w:pPr>
            <w:r>
              <w:rPr>
                <w:rFonts w:ascii="Arial" w:hAnsi="Arial"/>
                <w:b w:val="0"/>
                <w:i/>
                <w:color w:val="555555"/>
                <w:sz w:val="20"/>
              </w:rPr>
              <w:t>An insider at a research organization facilitated unauthorized access, resulting in sensitive data exposure.</w:t>
            </w:r>
          </w:p>
        </w:tc>
      </w:tr>
    </w:tbl>
    <w:p/>
    <w:p>
      <w:r>
        <w:rPr>
          <w:rFonts w:ascii="Arial" w:hAnsi="Arial"/>
          <w:b/>
          <w:color w:val="008AC9"/>
          <w:sz w:val="20"/>
        </w:rPr>
        <w:t xml:space="preserve">Common factors across incidents: </w:t>
      </w:r>
      <w:r>
        <w:rPr>
          <w:rFonts w:ascii="Arial" w:hAnsi="Arial"/>
          <w:b w:val="0"/>
          <w:sz w:val="20"/>
        </w:rPr>
        <w:t>Exploitation of unpatched systems (36%), compromised credentials (30%), third-party supplier compromise (18%), insider actions (10%)</w:t>
      </w:r>
    </w:p>
    <w:p>
      <w:pPr>
        <w:pStyle w:val="Heading1"/>
        <w:spacing w:before="240" w:after="120"/>
      </w:pPr>
      <w:r>
        <w:rPr>
          <w:rFonts w:ascii="Arial" w:hAnsi="Arial"/>
          <w:color w:val="E65100"/>
          <w:sz w:val="28"/>
        </w:rPr>
        <w:t>Geopolitical Threat Landscape</w:t>
      </w:r>
    </w:p>
    <w:p>
      <w:r>
        <w:rPr>
          <w:rFonts w:ascii="Arial" w:hAnsi="Arial"/>
          <w:i/>
          <w:color w:val="666666"/>
          <w:sz w:val="18"/>
        </w:rPr>
        <w:t>Nation-state cyber activity with implications for the life sciences and genomics sector during Q2 2026.</w:t>
      </w:r>
    </w:p>
    <w:p/>
    <w:p>
      <w:pPr>
        <w:pStyle w:val="Heading2"/>
        <w:spacing w:after="120"/>
      </w:pPr>
      <w:r>
        <w:rPr>
          <w:rFonts w:ascii="Arial" w:hAnsi="Arial"/>
          <w:b/>
          <w:color w:val="000000"/>
          <w:sz w:val="24"/>
        </w:rPr>
        <w:t>China</w:t>
      </w:r>
    </w:p>
    <w:p>
      <w:r>
        <w:rPr>
          <w:rFonts w:ascii="Arial" w:hAnsi="Arial"/>
          <w:b/>
          <w:color w:val="008AC9"/>
          <w:sz w:val="21"/>
        </w:rPr>
        <w:t xml:space="preserve">Strategic Context: </w:t>
      </w:r>
      <w:r>
        <w:rPr>
          <w:rFonts w:ascii="Arial" w:hAnsi="Arial"/>
          <w:b w:val="0"/>
          <w:sz w:val="21"/>
        </w:rPr>
        <w:t>China continues to prioritize the acquisition of intellectual property and sensitive data in the biotechnology, genomics, and pharmaceutical sectors to accelerate domestic innovation and global competitiveness.</w:t>
      </w:r>
    </w:p>
    <w:p>
      <w:pPr>
        <w:spacing w:before="0" w:after="60"/>
      </w:pPr>
    </w:p>
    <w:p>
      <w:r>
        <w:rPr>
          <w:rFonts w:ascii="Arial" w:hAnsi="Arial"/>
          <w:b/>
          <w:color w:val="008AC9"/>
          <w:sz w:val="21"/>
        </w:rPr>
        <w:t xml:space="preserve">Q2 Activity: </w:t>
      </w:r>
      <w:r>
        <w:rPr>
          <w:rFonts w:ascii="Arial" w:hAnsi="Arial"/>
          <w:b w:val="0"/>
          <w:sz w:val="21"/>
        </w:rPr>
        <w:t>This quarter saw at least three China-linked advanced persistent threat groups targeting manufacturing, healthcare, and technology organizations, with a focus on research data and supply chain infiltration.</w:t>
      </w:r>
    </w:p>
    <w:p>
      <w:pPr>
        <w:spacing w:before="0" w:after="60"/>
      </w:pPr>
    </w:p>
    <w:p>
      <w:r>
        <w:rPr>
          <w:rFonts w:ascii="Arial" w:hAnsi="Arial"/>
          <w:b/>
          <w:color w:val="008AC9"/>
          <w:sz w:val="21"/>
        </w:rPr>
        <w:t xml:space="preserve">Business Implications: </w:t>
      </w:r>
      <w:r>
        <w:rPr>
          <w:rFonts w:ascii="Arial" w:hAnsi="Arial"/>
          <w:b w:val="0"/>
          <w:sz w:val="21"/>
        </w:rPr>
        <w:t>The risk of intellectual property theft and competitive disadvantage remains high. Regulatory exposure is increasing, particularly regarding cross-border data flows and export controls. Strategic partnerships and R&amp;D initiatives may be targeted, requiring enhanced due diligence and monitoring.</w:t>
      </w:r>
    </w:p>
    <w:p>
      <w:pPr>
        <w:spacing w:before="0" w:after="240"/>
        <w:pBdr>
          <w:bottom w:val="single" w:sz="6" w:space="1" w:color="CCCCCC"/>
        </w:pBdr>
      </w:pPr>
    </w:p>
    <w:p>
      <w:pPr>
        <w:pStyle w:val="Heading2"/>
        <w:spacing w:after="120"/>
      </w:pPr>
      <w:r>
        <w:rPr>
          <w:rFonts w:ascii="Arial" w:hAnsi="Arial"/>
          <w:b/>
          <w:color w:val="000000"/>
          <w:sz w:val="24"/>
        </w:rPr>
        <w:t>Russia</w:t>
      </w:r>
    </w:p>
    <w:p>
      <w:r>
        <w:rPr>
          <w:rFonts w:ascii="Arial" w:hAnsi="Arial"/>
          <w:b/>
          <w:color w:val="008AC9"/>
          <w:sz w:val="21"/>
        </w:rPr>
        <w:t xml:space="preserve">Strategic Context: </w:t>
      </w:r>
      <w:r>
        <w:rPr>
          <w:rFonts w:ascii="Arial" w:hAnsi="Arial"/>
          <w:b w:val="0"/>
          <w:sz w:val="21"/>
        </w:rPr>
        <w:t>Russia maintains a robust cybercriminal ecosystem that supports both financially motivated ransomware operations and opportunistic attacks on critical industries, including healthcare and manufacturing.</w:t>
      </w:r>
    </w:p>
    <w:p>
      <w:pPr>
        <w:spacing w:before="0" w:after="60"/>
      </w:pPr>
    </w:p>
    <w:p>
      <w:r>
        <w:rPr>
          <w:rFonts w:ascii="Arial" w:hAnsi="Arial"/>
          <w:b/>
          <w:color w:val="008AC9"/>
          <w:sz w:val="21"/>
        </w:rPr>
        <w:t xml:space="preserve">Q2 Activity: </w:t>
      </w:r>
      <w:r>
        <w:rPr>
          <w:rFonts w:ascii="Arial" w:hAnsi="Arial"/>
          <w:b w:val="0"/>
          <w:sz w:val="21"/>
        </w:rPr>
        <w:t>Russian-linked actors were active in at least four major ransomware and extortion campaigns this quarter, with several targeting pharmaceutical and technology peers. Access brokers with ties to Russian groups continue to facilitate initial access for ransomware operators.</w:t>
      </w:r>
    </w:p>
    <w:p>
      <w:pPr>
        <w:spacing w:before="0" w:after="60"/>
      </w:pPr>
    </w:p>
    <w:p>
      <w:r>
        <w:rPr>
          <w:rFonts w:ascii="Arial" w:hAnsi="Arial"/>
          <w:b/>
          <w:color w:val="008AC9"/>
          <w:sz w:val="21"/>
        </w:rPr>
        <w:t xml:space="preserve">Business Implications: </w:t>
      </w:r>
      <w:r>
        <w:rPr>
          <w:rFonts w:ascii="Arial" w:hAnsi="Arial"/>
          <w:b w:val="0"/>
          <w:sz w:val="21"/>
        </w:rPr>
        <w:t>Business continuity and operational resilience are at risk due to the potential for disruptive attacks. Regulatory scrutiny around ransomware payments and incident reporting is intensifying, and insurance costs are rising. Peer benchmarking shows similar exposure across the sector.</w:t>
      </w:r>
    </w:p>
    <w:p>
      <w:pPr>
        <w:spacing w:before="0" w:after="240"/>
        <w:pBdr>
          <w:bottom w:val="single" w:sz="6" w:space="1" w:color="CCCCCC"/>
        </w:pBdr>
      </w:pPr>
    </w:p>
    <w:p>
      <w:pPr>
        <w:pStyle w:val="Heading2"/>
        <w:spacing w:after="120"/>
      </w:pPr>
      <w:r>
        <w:rPr>
          <w:rFonts w:ascii="Arial" w:hAnsi="Arial"/>
          <w:b/>
          <w:color w:val="000000"/>
          <w:sz w:val="24"/>
        </w:rPr>
        <w:t>North Korea</w:t>
      </w:r>
    </w:p>
    <w:p>
      <w:r>
        <w:rPr>
          <w:rFonts w:ascii="Arial" w:hAnsi="Arial"/>
          <w:b/>
          <w:color w:val="008AC9"/>
          <w:sz w:val="21"/>
        </w:rPr>
        <w:t xml:space="preserve">Strategic Context: </w:t>
      </w:r>
      <w:r>
        <w:rPr>
          <w:rFonts w:ascii="Arial" w:hAnsi="Arial"/>
          <w:b w:val="0"/>
          <w:sz w:val="21"/>
        </w:rPr>
        <w:t>North Korea leverages cyber operations for both financial gain and strategic intelligence collection, often targeting research, academic, and manufacturing organizations.</w:t>
      </w:r>
    </w:p>
    <w:p>
      <w:pPr>
        <w:spacing w:before="0" w:after="60"/>
      </w:pPr>
    </w:p>
    <w:p>
      <w:r>
        <w:rPr>
          <w:rFonts w:ascii="Arial" w:hAnsi="Arial"/>
          <w:b/>
          <w:color w:val="008AC9"/>
          <w:sz w:val="21"/>
        </w:rPr>
        <w:t xml:space="preserve">Q2 Activity: </w:t>
      </w:r>
      <w:r>
        <w:rPr>
          <w:rFonts w:ascii="Arial" w:hAnsi="Arial"/>
          <w:b w:val="0"/>
          <w:sz w:val="21"/>
        </w:rPr>
        <w:t>North Korea-linked groups were observed targeting academic and manufacturing entities, seeking both financial assets and proprietary research data.</w:t>
      </w:r>
    </w:p>
    <w:p>
      <w:pPr>
        <w:spacing w:before="0" w:after="60"/>
      </w:pPr>
    </w:p>
    <w:p>
      <w:r>
        <w:rPr>
          <w:rFonts w:ascii="Arial" w:hAnsi="Arial"/>
          <w:b/>
          <w:color w:val="008AC9"/>
          <w:sz w:val="21"/>
        </w:rPr>
        <w:t xml:space="preserve">Business Implications: </w:t>
      </w:r>
      <w:r>
        <w:rPr>
          <w:rFonts w:ascii="Arial" w:hAnsi="Arial"/>
          <w:b w:val="0"/>
          <w:sz w:val="21"/>
        </w:rPr>
        <w:t>Financial fraud and data theft risks are elevated. There is an increased likelihood of regulatory investigations if sensitive research data is compromised. North Korea's dual-purpose operations blur the line between espionage and crime, complicating response and attribution.</w:t>
      </w:r>
    </w:p>
    <w:p>
      <w:pPr>
        <w:spacing w:before="0" w:after="240"/>
        <w:pBdr>
          <w:bottom w:val="single" w:sz="6" w:space="1" w:color="CCCCCC"/>
        </w:pBdr>
      </w:pPr>
    </w:p>
    <w:p>
      <w:pPr>
        <w:pStyle w:val="Heading1"/>
        <w:spacing w:before="240" w:after="120"/>
      </w:pPr>
      <w:r>
        <w:rPr>
          <w:rFonts w:ascii="Arial" w:hAnsi="Arial"/>
          <w:color w:val="E65100"/>
          <w:sz w:val="28"/>
        </w:rPr>
        <w:t>Looking Ahead: Q3 2026</w:t>
      </w:r>
    </w:p>
    <w:p>
      <w:r>
        <w:rPr>
          <w:rFonts w:ascii="Arial" w:hAnsi="Arial"/>
          <w:b/>
          <w:color w:val="008AC9"/>
          <w:sz w:val="21"/>
        </w:rPr>
        <w:t xml:space="preserve">Threat Outlook: </w:t>
      </w:r>
      <w:r>
        <w:rPr>
          <w:rFonts w:ascii="Arial" w:hAnsi="Arial"/>
          <w:b w:val="0"/>
          <w:sz w:val="21"/>
        </w:rPr>
        <w:t>We anticipate continued high levels of ransomware and extortion activity, with nation state actors expanding their focus on supply chain and third-party vectors. Regulatory pressure on incident reporting and third-party risk management will increase. Peer organizations are expected to invest more in resilience and executive-level response planning.</w:t>
      </w:r>
    </w:p>
    <w:p>
      <w:pPr>
        <w:spacing w:before="0" w:after="60"/>
      </w:pPr>
    </w:p>
    <w:p>
      <w:r>
        <w:rPr>
          <w:rFonts w:ascii="Arial" w:hAnsi="Arial"/>
          <w:b/>
          <w:color w:val="008AC9"/>
          <w:sz w:val="21"/>
        </w:rPr>
        <w:t xml:space="preserve">Planned Initiatives: </w:t>
      </w:r>
      <w:r>
        <w:rPr>
          <w:rFonts w:ascii="Arial" w:hAnsi="Arial"/>
          <w:b w:val="0"/>
          <w:sz w:val="21"/>
        </w:rPr>
        <w:t>We recommend prioritizing third-party risk assessments, enhancing executive security awareness, and conducting scenario-based incident response exercises. Investment in supply chain security monitoring and data loss prevention should be accelerated.</w:t>
      </w:r>
    </w:p>
    <w:p>
      <w:pPr>
        <w:spacing w:before="0" w:after="60"/>
      </w:pPr>
    </w:p>
    <w:p>
      <w:r>
        <w:rPr>
          <w:rFonts w:ascii="Arial" w:hAnsi="Arial"/>
          <w:b/>
          <w:color w:val="008AC9"/>
          <w:sz w:val="21"/>
        </w:rPr>
        <w:t xml:space="preserve">Watch Items: </w:t>
      </w:r>
      <w:r>
        <w:rPr>
          <w:rFonts w:ascii="Arial" w:hAnsi="Arial"/>
          <w:b w:val="0"/>
          <w:sz w:val="21"/>
        </w:rPr>
        <w:t>Monitor for increased access broker activity, evolving ransomware tactics, and new regulatory requirements on data protection and incident disclosure. Pay close attention to risks arising from emerging research partnerships and technology integrations.</w:t>
      </w:r>
    </w:p>
    <w:p>
      <w:pPr>
        <w:pStyle w:val="Heading1"/>
        <w:spacing w:before="240" w:after="120"/>
      </w:pPr>
      <w:r>
        <w:rPr>
          <w:rFonts w:ascii="Arial" w:hAnsi="Arial"/>
          <w:color w:val="E65100"/>
          <w:sz w:val="28"/>
        </w:rPr>
        <w:t>Recommendations for Leadership</w:t>
      </w:r>
    </w:p>
    <w:p>
      <w:pPr>
        <w:pStyle w:val="ListBullet"/>
        <w:spacing w:after="120"/>
      </w:pPr>
      <w:r>
        <w:rPr>
          <w:rFonts w:ascii="Arial" w:hAnsi="Arial"/>
          <w:b/>
          <w:sz w:val="21"/>
        </w:rPr>
        <w:t>Executive AwarenessDeliver targeted briefings to executives on evolving nation state and ransomware threats, emphasizing business and reputational risks.</w:t>
      </w:r>
    </w:p>
    <w:p>
      <w:pPr>
        <w:pStyle w:val="ListBullet"/>
        <w:spacing w:after="120"/>
      </w:pPr>
      <w:r>
        <w:rPr>
          <w:rFonts w:ascii="Arial" w:hAnsi="Arial"/>
          <w:b/>
          <w:sz w:val="21"/>
        </w:rPr>
        <w:t>Vendor Risk ReviewInitiate a comprehensive review of third-party and supply chain security controls, with a focus on critical vendors and research partners.</w:t>
      </w:r>
    </w:p>
    <w:p>
      <w:pPr>
        <w:pStyle w:val="ListBullet"/>
        <w:spacing w:after="120"/>
      </w:pPr>
      <w:r>
        <w:rPr>
          <w:rFonts w:ascii="Arial" w:hAnsi="Arial"/>
          <w:b/>
          <w:sz w:val="21"/>
        </w:rPr>
        <w:t>Manufacturing SecurityEnhance operational technology and manufacturing environment security, including network segmentation and monitoring for anomalous activity.</w:t>
      </w:r>
    </w:p>
    <w:p>
      <w:pPr>
        <w:pStyle w:val="ListBullet"/>
        <w:spacing w:after="120"/>
      </w:pPr>
      <w:r>
        <w:rPr>
          <w:rFonts w:ascii="Arial" w:hAnsi="Arial"/>
          <w:b/>
          <w:sz w:val="21"/>
        </w:rPr>
        <w:t>Incident ResponseConduct board-level tabletop exercises and update incident response plans to address extortion, insider, and supply chain scenarios.</w:t>
      </w:r>
    </w:p>
    <w:p>
      <w:pPr>
        <w:pStyle w:val="ListBullet"/>
        <w:spacing w:after="120"/>
      </w:pPr>
      <w:r>
        <w:rPr>
          <w:rFonts w:ascii="Arial" w:hAnsi="Arial"/>
          <w:b/>
          <w:sz w:val="21"/>
        </w:rPr>
        <w:t>Board ReportingLeverage cyber threat intelligence to provide regular, business-focused updates to the board, supporting informed risk and investment decisions.</w:t>
      </w:r>
    </w:p>
    <w:p/>
    <w:p>
      <w:pPr>
        <w:pStyle w:val="Heading1"/>
      </w:pPr>
      <w:r>
        <w:rPr>
          <w:rFonts w:ascii="Arial" w:hAnsi="Arial"/>
          <w:color w:val="E65100"/>
          <w:sz w:val="28"/>
        </w:rPr>
        <w:t>Sources</w:t>
      </w:r>
    </w:p>
    <w:p>
      <w:pPr>
        <w:pStyle w:val="ListBullet"/>
      </w:pPr>
      <w:r>
        <w:rPr>
          <w:rFonts w:ascii="Arial" w:hAnsi="Arial"/>
          <w:b/>
          <w:sz w:val="20"/>
        </w:rPr>
        <w:t>CrowdStrike Falcon Intelligence</w:t>
      </w:r>
      <w:r>
        <w:rPr>
          <w:rFonts w:ascii="Arial" w:hAnsi="Arial"/>
          <w:color w:val="666666"/>
          <w:sz w:val="20"/>
        </w:rPr>
        <w:t xml:space="preserve"> — Threat actor profiles, APT campaigns, and adversary tracking</w:t>
      </w:r>
    </w:p>
    <w:p>
      <w:pPr>
        <w:pStyle w:val="ListBullet"/>
      </w:pPr>
      <w:r>
        <w:rPr>
          <w:rFonts w:ascii="Arial" w:hAnsi="Arial"/>
          <w:b/>
          <w:sz w:val="20"/>
        </w:rPr>
        <w:t>Intel471 Titan</w:t>
      </w:r>
      <w:r>
        <w:rPr>
          <w:rFonts w:ascii="Arial" w:hAnsi="Arial"/>
          <w:color w:val="666666"/>
          <w:sz w:val="20"/>
        </w:rPr>
        <w:t xml:space="preserve"> — Underground threat intelligence, breach reporting, and actor monitoring</w:t>
      </w:r>
    </w:p>
    <w:p>
      <w:pPr>
        <w:pStyle w:val="ListBullet"/>
      </w:pPr>
      <w:r>
        <w:rPr>
          <w:rFonts w:ascii="Arial" w:hAnsi="Arial"/>
          <w:b/>
          <w:sz w:val="20"/>
        </w:rPr>
        <w:t>NIST National Vulnerability Database (NVD)</w:t>
      </w:r>
      <w:r>
        <w:rPr>
          <w:rFonts w:ascii="Arial" w:hAnsi="Arial"/>
          <w:color w:val="666666"/>
          <w:sz w:val="20"/>
        </w:rPr>
        <w:t xml:space="preserve">  https://nvd.nist.gov/</w:t>
      </w:r>
    </w:p>
    <w:p>
      <w:pPr>
        <w:pStyle w:val="ListBullet"/>
      </w:pPr>
      <w:r>
        <w:rPr>
          <w:rFonts w:ascii="Arial" w:hAnsi="Arial"/>
          <w:b/>
          <w:sz w:val="20"/>
        </w:rPr>
        <w:t>CISA Known Exploited Vulnerabilities (KEV) Catalog</w:t>
      </w:r>
      <w:r>
        <w:rPr>
          <w:rFonts w:ascii="Arial" w:hAnsi="Arial"/>
          <w:color w:val="666666"/>
          <w:sz w:val="20"/>
        </w:rPr>
        <w:t xml:space="preserve">  https://www.cisa.gov/known-exploited-vulnerabilities-catalog</w:t>
      </w:r>
    </w:p>
    <w:p>
      <w:pPr>
        <w:pStyle w:val="ListBullet"/>
      </w:pPr>
      <w:r>
        <w:rPr>
          <w:rFonts w:ascii="Arial" w:hAnsi="Arial"/>
          <w:b/>
          <w:sz w:val="20"/>
        </w:rPr>
        <w:t>HHS Breach Portal</w:t>
      </w:r>
      <w:r>
        <w:rPr>
          <w:rFonts w:ascii="Arial" w:hAnsi="Arial"/>
          <w:color w:val="666666"/>
          <w:sz w:val="20"/>
        </w:rPr>
        <w:t xml:space="preserve">  https://ocrportal.hhs.gov/ocr/breach/breach_report.jsf</w:t>
      </w:r>
    </w:p>
    <w:p>
      <w:pPr>
        <w:pStyle w:val="ListBullet"/>
      </w:pPr>
      <w:r>
        <w:rPr>
          <w:rFonts w:ascii="Arial" w:hAnsi="Arial"/>
          <w:b/>
          <w:sz w:val="20"/>
        </w:rPr>
        <w:t>FBI Internet Crime Complaint Center (IC3)</w:t>
      </w:r>
      <w:r>
        <w:rPr>
          <w:rFonts w:ascii="Arial" w:hAnsi="Arial"/>
          <w:color w:val="666666"/>
          <w:sz w:val="20"/>
        </w:rPr>
        <w:t xml:space="preserve">  https://www.ic3.gov/</w:t>
      </w:r>
    </w:p>
    <w:p>
      <w:pPr>
        <w:pStyle w:val="ListBullet"/>
      </w:pPr>
      <w:r>
        <w:rPr>
          <w:rFonts w:ascii="Arial" w:hAnsi="Arial"/>
          <w:b/>
          <w:sz w:val="20"/>
        </w:rPr>
        <w:t>SEC EDGAR Filings</w:t>
      </w:r>
      <w:r>
        <w:rPr>
          <w:rFonts w:ascii="Arial" w:hAnsi="Arial"/>
          <w:color w:val="666666"/>
          <w:sz w:val="20"/>
        </w:rPr>
        <w:t xml:space="preserve">  https://www.sec.gov/cgi-bin/browse-edgar</w:t>
      </w:r>
    </w:p>
    <w:p>
      <w:pPr>
        <w:pStyle w:val="ListBullet"/>
      </w:pPr>
      <w:r>
        <w:rPr>
          <w:rFonts w:ascii="Arial" w:hAnsi="Arial"/>
          <w:b/>
          <w:sz w:val="20"/>
        </w:rPr>
        <w:t>MITRE ATT&amp;CK</w:t>
      </w:r>
      <w:r>
        <w:rPr>
          <w:rFonts w:ascii="Arial" w:hAnsi="Arial"/>
          <w:color w:val="666666"/>
          <w:sz w:val="20"/>
        </w:rPr>
        <w:t xml:space="preserve">  https://attack.mitre.org/</w:t>
      </w:r>
    </w:p>
    <w:p>
      <w:pPr>
        <w:pStyle w:val="ListBullet"/>
      </w:pPr>
      <w:r>
        <w:rPr>
          <w:rFonts w:ascii="Arial" w:hAnsi="Arial"/>
          <w:b/>
          <w:sz w:val="20"/>
        </w:rPr>
        <w:t>Open Source Intelligence (OSINT)</w:t>
      </w:r>
      <w:r>
        <w:rPr>
          <w:rFonts w:ascii="Arial" w:hAnsi="Arial"/>
          <w:color w:val="666666"/>
          <w:sz w:val="20"/>
        </w:rPr>
        <w:t xml:space="preserve"> — Industry publications, state AG notifications, and vendor advisories</w:t>
      </w:r>
    </w:p>
    <w:p/>
    <w:p>
      <w:pPr>
        <w:jc w:val="left"/>
      </w:pPr>
      <w:r>
        <w:rPr>
          <w:rFonts w:ascii="Arial" w:hAnsi="Arial"/>
          <w:b/>
          <w:color w:val="555555"/>
          <w:sz w:val="20"/>
          <w:u w:val="none"/>
        </w:rPr>
        <w:t>Prepared by: Cyber Threat Intelligence | cti@illumina.com</w:t>
      </w:r>
    </w:p>
    <w:p/>
    <w:sectPr w:rsidR="00FC693F" w:rsidRPr="0006063C" w:rsidSect="00034616">
      <w:pgPr>
        <w:vAlign w:val="top"/>
      </w:pgPr>
      <w:headerReference w:type="default" r:id="rId9"/>
      <w:footerReference w:type="default" r:id="rId10"/>
      <w:pgSz w:w="12240" w:h="15840"/>
      <w:pgMar w:top="1800" w:right="1080" w:bottom="1267" w:left="108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i/>
        <w:color w:val="999999"/>
        <w:sz w:val="16"/>
      </w:rPr>
      <w:t xml:space="preserve">TLP: </w:t>
    </w:r>
    <w:r>
      <w:rPr>
        <w:rFonts w:ascii="Arial" w:hAnsi="Arial"/>
        <w:i/>
        <w:color w:val="E65100"/>
        <w:sz w:val="16"/>
      </w:rPr>
      <w:t>AMBER+</w:t>
    </w:r>
    <w:r>
      <w:rPr>
        <w:rFonts w:ascii="Arial" w:hAnsi="Arial"/>
        <w:i/>
        <w:color w:val="E65100"/>
        <w:sz w:val="16"/>
        <w:u w:val="none"/>
      </w:rPr>
      <w:t>STRICT</w:t>
    </w:r>
    <w:r>
      <w:rPr>
        <w:rFonts w:ascii="Arial" w:hAnsi="Arial"/>
        <w:i/>
        <w:color w:val="999999"/>
        <w:sz w:val="16"/>
      </w:rPr>
      <w:t xml:space="preserve"> | </w:t>
    </w:r>
    <w:r>
      <w:rPr>
        <w:rFonts w:ascii="Arial" w:hAnsi="Arial"/>
        <w:i/>
        <w:color w:val="999999"/>
        <w:sz w:val="16"/>
      </w:rPr>
      <w:t>Page 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6400800" cy="687772"/>
          <wp:docPr id="1" name="Picture 1"/>
          <wp:cNvGraphicFramePr>
            <a:graphicFrameLocks noChangeAspect="1"/>
          </wp:cNvGraphicFramePr>
          <a:graphic>
            <a:graphicData uri="http://schemas.openxmlformats.org/drawingml/2006/picture">
              <pic:pic>
                <pic:nvPicPr>
                  <pic:cNvPr id="0" name="Bulletin_banner.jpg"/>
                  <pic:cNvPicPr/>
                </pic:nvPicPr>
                <pic:blipFill>
                  <a:blip r:embed="rId1"/>
                  <a:stretch>
                    <a:fillRect/>
                  </a:stretch>
                </pic:blipFill>
                <pic:spPr>
                  <a:xfrm>
                    <a:off x="0" y="0"/>
                    <a:ext cx="6400800" cy="687772"/>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40" w:lineRule="auto"/>
    </w:pPr>
    <w:rPr>
      <w:rFonts w:ascii="Arial" w:hAnsi="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60" w:line="240" w:lineRule="auto"/>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0" w:after="60" w:line="240" w:lineRule="auto"/>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0" w:after="60" w:line="240" w:lineRule="auto"/>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