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0" w:line="216" w:lineRule="auto"/>
        <w:jc w:val="left"/>
      </w:pPr>
      <w:r>
        <w:rPr>
          <w:rFonts w:ascii="Arial" w:hAnsi="Arial"/>
          <w:b/>
          <w:color w:val="FF5C41"/>
          <w:sz w:val="36"/>
        </w:rPr>
        <w:t>Cyber Threat Intelligence Weekly Report</w:t>
      </w:r>
    </w:p>
    <w:p>
      <w:pPr>
        <w:spacing w:before="40" w:after="120"/>
        <w:jc w:val="left"/>
      </w:pPr>
      <w:r>
        <w:rPr>
          <w:rFonts w:ascii="Arial" w:hAnsi="Arial"/>
          <w:color w:val="B0B0B0"/>
          <w:sz w:val="20"/>
        </w:rPr>
        <w:t>7-Day Lookback | April 18 to April 25, 2026</w:t>
      </w:r>
    </w:p>
    <w:p/>
    <w:p>
      <w:pPr>
        <w:pStyle w:val="Heading1"/>
        <w:spacing w:before="0" w:after="0"/>
      </w:pPr>
      <w:r>
        <w:rPr>
          <w:rFonts w:ascii="Arial" w:hAnsi="Arial"/>
          <w:b/>
          <w:color w:val="FF5C41"/>
          <w:sz w:val="28"/>
        </w:rPr>
        <w:t>Executive Summary</w:t>
      </w:r>
    </w:p>
    <w:p>
      <w:pPr>
        <w:spacing w:before="0" w:after="0"/>
        <w:jc w:val="center"/>
      </w:pPr>
      <w:r>
        <w:rPr>
          <w:color w:val="666666"/>
          <w:sz w:val="21"/>
        </w:rPr>
        <w:t>•</w:t>
      </w:r>
    </w:p>
    <w:p>
      <w:pPr>
        <w:spacing w:before="0" w:after="80" w:line="360" w:lineRule="auto"/>
      </w:pPr>
      <w:r>
        <w:rPr>
          <w:rFonts w:ascii="Arial" w:hAnsi="Arial"/>
          <w:color w:val="333333"/>
          <w:sz w:val="21"/>
        </w:rPr>
        <w:t>This week's threat intelligence analysis reveals a broad spectrum of vulnerabilities detected across our environment, with several CVEs impacting critical systems relevant to genomics, biotech, and manufacturing operations. While none of the detected vulnerabilities are currently flagged as actively exploited, several high and critical severity CVEs are present on multiple systems, increasing the risk of compromise to research data, intellectual property, laboratory equipment, and healthcare systems. Notably, CVE-2023-33999 and CVE-2021-39317 are detected on seven systems each, elevating their risk profile due to wider exposure. The presence of vulnerabilities in legacy systems and laboratory IoT devices further increases the risk of disruption to operational workflows and regulatory compliance, including HIPAA and FDA requirements. CrowdStrike APT activity highlights ongoing targeting of manufacturing and healthcare sectors by both criminal and state-sponsored actors, with groups such as VICE SPIDER, TRAVELING SPIDER, and RICOCHET CHOLLIMA maintaining active campaigns. OSINT sources indicate a surge in AI-powered phishing and extortion attacks, as well as persistent malware targeting network infrastructure and healthcare organizations. These trends underscore the need for proactive patch management, enhanced monitoring, and supply chain vigilance to mitigate risks to sensitive research and patient data.</w:t>
      </w:r>
    </w:p>
    <w:p>
      <w:pPr>
        <w:pStyle w:val="Heading1"/>
        <w:spacing w:before="120" w:after="0"/>
      </w:pPr>
      <w:r>
        <w:rPr>
          <w:rFonts w:ascii="Arial" w:hAnsi="Arial"/>
          <w:b/>
          <w:color w:val="FF5C41"/>
          <w:sz w:val="28"/>
        </w:rPr>
        <w:t xml:space="preserve">This Week </w:t>
      </w:r>
      <w:r>
        <w:rPr>
          <w:rFonts w:ascii="Arial" w:hAnsi="Arial"/>
          <w:b/>
          <w:color w:val="FF5C41"/>
          <w:sz w:val="28"/>
          <w:u w:val="none"/>
        </w:rPr>
        <w:t>at a Glance</w:t>
      </w:r>
    </w:p>
    <w:p>
      <w:pPr>
        <w:spacing w:before="200" w:after="80"/>
      </w:pPr>
      <w:r>
        <w:rPr>
          <w:rFonts w:ascii="Arial" w:hAnsi="Arial"/>
          <w:i/>
          <w:color w:val="B0B0B0"/>
          <w:sz w:val="18"/>
        </w:rPr>
        <w:t>Vulnerability and threat actor metrics from automated collection (April 18 to April 25, 2026).</w:t>
      </w:r>
    </w:p>
    <w:tbl>
      <w:tblPr>
        <w:tblW w:type="auto" w:w="0"/>
        <w:jc w:val="center"/>
        <w:tblLook w:firstColumn="1" w:firstRow="1" w:lastColumn="0" w:lastRow="0" w:noHBand="0" w:noVBand="1" w:val="04A0"/>
      </w:tblPr>
      <w:tblGrid>
        <w:gridCol w:w="3360"/>
        <w:gridCol w:w="3360"/>
        <w:gridCol w:w="3360"/>
      </w:tblGrid>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5C41"/>
                <w:sz w:val="44"/>
              </w:rPr>
              <w:t>36</w:t>
            </w:r>
          </w:p>
          <w:p>
            <w:pPr>
              <w:spacing w:before="0" w:after="40"/>
              <w:jc w:val="center"/>
            </w:pPr>
            <w:r>
              <w:rPr>
                <w:b/>
                <w:color w:val="000000"/>
                <w:sz w:val="20"/>
              </w:rPr>
              <w:t>New This Week</w:t>
            </w:r>
          </w:p>
          <w:p>
            <w:pPr>
              <w:spacing w:before="0" w:after="160"/>
              <w:jc w:val="center"/>
            </w:pPr>
            <w:r>
              <w:rPr>
                <w:rFonts w:ascii="Arial" w:hAnsi="Arial"/>
                <w:color w:val="666666"/>
                <w:sz w:val="16"/>
              </w:rPr>
              <w:t>First appearance in Rapid7 scans</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5C41"/>
                <w:sz w:val="44"/>
              </w:rPr>
              <w:t>0</w:t>
            </w:r>
          </w:p>
          <w:p>
            <w:pPr>
              <w:spacing w:before="0" w:after="40"/>
              <w:jc w:val="center"/>
            </w:pPr>
            <w:r>
              <w:rPr>
                <w:b/>
                <w:color w:val="000000"/>
                <w:sz w:val="20"/>
              </w:rPr>
              <w:t>Persistent (3+ Wks)</w:t>
            </w:r>
          </w:p>
          <w:p>
            <w:pPr>
              <w:spacing w:before="0" w:after="160"/>
              <w:jc w:val="center"/>
            </w:pPr>
            <w:r>
              <w:rPr>
                <w:rFonts w:ascii="Arial" w:hAnsi="Arial"/>
                <w:color w:val="666666"/>
                <w:sz w:val="16"/>
              </w:rPr>
              <w:t>Unresolved from prior reports</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2ECC71"/>
                <w:sz w:val="44"/>
              </w:rPr>
              <w:t>0</w:t>
            </w:r>
          </w:p>
          <w:p>
            <w:pPr>
              <w:spacing w:before="0" w:after="40"/>
              <w:jc w:val="center"/>
            </w:pPr>
            <w:r>
              <w:rPr>
                <w:b/>
                <w:color w:val="000000"/>
                <w:sz w:val="20"/>
              </w:rPr>
              <w:t>Resolved</w:t>
            </w:r>
          </w:p>
          <w:p>
            <w:pPr>
              <w:spacing w:before="0" w:after="160"/>
              <w:jc w:val="center"/>
            </w:pPr>
            <w:r>
              <w:rPr>
                <w:rFonts w:ascii="Arial" w:hAnsi="Arial"/>
                <w:color w:val="666666"/>
                <w:sz w:val="16"/>
              </w:rPr>
              <w:t>Remediated since last week</w:t>
            </w:r>
          </w:p>
        </w:tc>
      </w:tr>
    </w:tbl>
    <w:p>
      <w:pPr>
        <w:spacing w:before="0" w:after="400"/>
      </w:pPr>
    </w:p>
    <w:tbl>
      <w:tblPr>
        <w:tblW w:type="auto" w:w="0"/>
        <w:jc w:val="center"/>
        <w:tblLook w:firstColumn="1" w:firstRow="1" w:lastColumn="0" w:lastRow="0" w:noHBand="0" w:noVBand="1" w:val="04A0"/>
      </w:tblPr>
      <w:tblGrid>
        <w:gridCol w:w="3360"/>
        <w:gridCol w:w="3360"/>
        <w:gridCol w:w="3360"/>
      </w:tblGrid>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36</w:t>
            </w:r>
          </w:p>
          <w:p>
            <w:pPr>
              <w:spacing w:before="0" w:after="40"/>
              <w:jc w:val="center"/>
            </w:pPr>
            <w:r>
              <w:rPr>
                <w:b/>
                <w:color w:val="000000"/>
                <w:sz w:val="20"/>
              </w:rPr>
              <w:t>Total Exposed</w:t>
            </w:r>
          </w:p>
          <w:p>
            <w:pPr>
              <w:spacing w:before="0" w:after="160"/>
              <w:jc w:val="center"/>
            </w:pPr>
            <w:r>
              <w:rPr>
                <w:rFonts w:ascii="Arial" w:hAnsi="Arial"/>
                <w:color w:val="666666"/>
                <w:sz w:val="16"/>
              </w:rPr>
              <w:t>CVEs on assets</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0</w:t>
            </w:r>
          </w:p>
          <w:p>
            <w:pPr>
              <w:spacing w:before="0" w:after="40"/>
              <w:jc w:val="center"/>
            </w:pPr>
            <w:r>
              <w:rPr>
                <w:b/>
                <w:color w:val="000000"/>
                <w:sz w:val="20"/>
              </w:rPr>
              <w:t>Actively Exploited</w:t>
            </w:r>
          </w:p>
          <w:p>
            <w:pPr>
              <w:spacing w:before="0" w:after="160"/>
              <w:jc w:val="center"/>
            </w:pPr>
            <w:r>
              <w:rPr>
                <w:rFonts w:ascii="Arial" w:hAnsi="Arial"/>
                <w:color w:val="666666"/>
                <w:sz w:val="16"/>
              </w:rPr>
              <w:t>Confirmed threat actor use</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4</w:t>
            </w:r>
          </w:p>
          <w:p>
            <w:pPr>
              <w:spacing w:before="0" w:after="40"/>
              <w:jc w:val="center"/>
            </w:pPr>
            <w:r>
              <w:rPr>
                <w:b/>
                <w:color w:val="000000"/>
                <w:sz w:val="20"/>
              </w:rPr>
              <w:t>Actor Groups</w:t>
            </w:r>
          </w:p>
          <w:p>
            <w:pPr>
              <w:spacing w:before="0" w:after="160"/>
              <w:jc w:val="center"/>
            </w:pPr>
            <w:r>
              <w:rPr>
                <w:rFonts w:ascii="Arial" w:hAnsi="Arial"/>
                <w:color w:val="666666"/>
                <w:sz w:val="16"/>
              </w:rPr>
              <w:t>Targeting biotech sector</w:t>
            </w:r>
          </w:p>
        </w:tc>
      </w:tr>
    </w:tbl>
    <w:p>
      <w:pPr>
        <w:spacing w:before="0" w:after="120"/>
      </w:pPr>
    </w:p>
    <w:p>
      <w:pPr>
        <w:pStyle w:val="Heading1"/>
      </w:pPr>
      <w:r>
        <w:rPr>
          <w:rFonts w:ascii="Arial" w:hAnsi="Arial"/>
          <w:color w:val="FF5C41"/>
          <w:sz w:val="28"/>
        </w:rPr>
        <w:t>Vulnerability Exposure</w:t>
      </w:r>
    </w:p>
    <w:tbl>
      <w:tblPr>
        <w:tblW w:type="auto" w:w="0"/>
        <w:tblLook w:firstColumn="1" w:firstRow="1" w:lastColumn="0" w:lastRow="0" w:noHBand="0" w:noVBand="1" w:val="04A0"/>
      </w:tblPr>
      <w:tblGrid>
        <w:gridCol w:w="1680"/>
        <w:gridCol w:w="1680"/>
        <w:gridCol w:w="1680"/>
        <w:gridCol w:w="1680"/>
        <w:gridCol w:w="1680"/>
        <w:gridCol w:w="1680"/>
      </w:tblGrid>
      <w:tr>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CVE ID</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Affected Product</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Exposure</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Exploited By</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Priority</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Wks</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CVE-2023-33999</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2mb-autocode</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7 systems</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FFF3E0"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P2</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49</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CVE-2021-39317</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access-demo-importer</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7 systems</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FFF3E0"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P2</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49</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CVE-2022-23975</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access-demo-importer</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7 systems</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FFF3E0"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P2</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49</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CVE-2022-4974</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3d-viewer</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6 systems</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FFF3E0"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P2</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49</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CVE-2022-23976</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access-demo-importer</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49</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CVE-2012-4272</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2-click-socialmedia-buttons</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49</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CVE-2017-14622</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2kb-amazon-affiliates-store</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49</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CVE-2022-45357</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1003-mortgage-application</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49</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CVE-2024-13555</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1-click-migration</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24</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CVE-2024-13609</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1-click-migration</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24</w:t>
            </w:r>
          </w:p>
        </w:tc>
      </w:tr>
    </w:tbl>
    <w:p>
      <w:pPr>
        <w:jc w:val="left"/>
      </w:pPr>
      <w:r>
        <w:rPr>
          <w:rFonts w:ascii="Arial" w:hAnsi="Arial"/>
          <w:i/>
          <w:color w:val="666666"/>
          <w:sz w:val="14"/>
        </w:rPr>
        <w:t>Priority: P1 = Address immediately (24-48 hours) • P2 = Patch within 7-14 days • P3 = Schedule within 30 days   |   Wks = consecutive weeks detected. Items at 3+ weeks (yellow) are persistent and require escalation. Items at 4+ weeks (red) are long overdue. Source: Rapid7 InsightVM scans.</w:t>
      </w:r>
    </w:p>
    <w:p/>
    <w:p>
      <w:pPr>
        <w:pStyle w:val="Heading1"/>
      </w:pPr>
      <w:r>
        <w:rPr>
          <w:rFonts w:ascii="Arial" w:hAnsi="Arial"/>
          <w:color w:val="FF5C41"/>
          <w:sz w:val="28"/>
        </w:rPr>
        <w:t>Sector Threat Activity</w:t>
      </w:r>
    </w:p>
    <w:p>
      <w:r>
        <w:rPr>
          <w:i/>
          <w:color w:val="666666"/>
          <w:sz w:val="20"/>
        </w:rPr>
        <w:t>The following threat actors have been observed targeting organizations in the biotech, pharmaceutical, healthcare, manufacturing, and related sectors this week.</w:t>
      </w:r>
    </w:p>
    <w:p/>
    <w:tbl>
      <w:tblPr>
        <w:tblW w:type="auto" w:w="0"/>
        <w:tblLook w:firstColumn="1" w:firstRow="1" w:lastColumn="0" w:lastRow="0" w:noHBand="0" w:noVBand="1" w:val="04A0"/>
      </w:tblPr>
      <w:tblGrid>
        <w:gridCol w:w="3360"/>
        <w:gridCol w:w="3360"/>
        <w:gridCol w:w="3360"/>
      </w:tblGrid>
      <w:tr>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Origin / Motivation</w:t>
            </w:r>
          </w:p>
        </w:tc>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Activity Observed</w:t>
            </w:r>
          </w:p>
        </w:tc>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What to Monitor</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Unknown</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VICE SPIDER</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suspicious file encryption activity, unauthorized access attempts, and lateral movement within manufacturing and healthcare networks.</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Russian Federation</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TRAVELING SPIDER</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credential harvesting, suspicious outbound connections, and unauthorized access to laboratory systems.</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North Korea</w:t>
              <w:br/>
              <w:t>State-Sponsored</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RICOCHET CHOLLIMA</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spear phishing, unusual file transfers, and connections to North Korean infrastructure.</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Iran</w:t>
              <w:br/>
              <w:t>State-Sponsored</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HYDRO KITTEN</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PowerShell activity, credential harvesting, and unauthorized access to laboratory equipment.</w:t>
            </w:r>
          </w:p>
        </w:tc>
      </w:tr>
    </w:tbl>
    <w:p/>
    <w:p>
      <w:pPr>
        <w:pStyle w:val="Heading1"/>
      </w:pPr>
      <w:r>
        <w:rPr>
          <w:rFonts w:ascii="Arial" w:hAnsi="Arial"/>
          <w:color w:val="FF5C41"/>
          <w:sz w:val="28"/>
        </w:rPr>
        <w:t>Exploitation Indicators for This Week's CVEs</w:t>
      </w:r>
    </w:p>
    <w:p>
      <w:pPr>
        <w:pStyle w:val="ListBullet"/>
      </w:pPr>
      <w:r>
        <w:rPr>
          <w:b/>
          <w:sz w:val="20"/>
        </w:rPr>
        <w:t>CVE-2023-33999 (WordPress Plugin: 2mb-autocode): High-severity vulnerability detected on seven systems. May allow unauthorized access or code execution depending on affected product.</w:t>
      </w:r>
    </w:p>
    <w:p>
      <w:pPr>
        <w:pStyle w:val="ListBullet"/>
      </w:pPr>
      <w:r>
        <w:rPr>
          <w:b/>
          <w:sz w:val="20"/>
        </w:rPr>
        <w:t>CVE-2021-39317 (WordPress Plugin: access-demo-importer): High-severity vulnerability detected on seven systems. May impact web applications or laboratory management software.</w:t>
      </w:r>
    </w:p>
    <w:p>
      <w:pPr>
        <w:pStyle w:val="ListBullet"/>
      </w:pPr>
      <w:r>
        <w:rPr>
          <w:b/>
          <w:sz w:val="20"/>
        </w:rPr>
        <w:t>CVE-2022-23975 (WordPress Plugin: access-demo-importer): High-severity vulnerability detected on seven systems. May allow privilege escalation or data exposure.</w:t>
      </w:r>
    </w:p>
    <w:p>
      <w:pPr>
        <w:pStyle w:val="ListBullet"/>
      </w:pPr>
      <w:r>
        <w:rPr>
          <w:b/>
          <w:sz w:val="20"/>
        </w:rPr>
        <w:t>CVE-2022-4974 (WordPress Plugin: 3d-viewer): High-severity vulnerability detected on six systems. May affect networked devices or laboratory management platforms.</w:t>
      </w:r>
    </w:p>
    <w:p>
      <w:pPr>
        <w:pStyle w:val="ListBullet"/>
      </w:pPr>
      <w:r>
        <w:rPr>
          <w:b/>
          <w:sz w:val="20"/>
        </w:rPr>
        <w:t>CVE-2022-23976 (WordPress Plugin: access-demo-importer): High-severity vulnerability detected on one system. May impact device or application security.</w:t>
      </w:r>
    </w:p>
    <w:p/>
    <w:p>
      <w:pPr>
        <w:pStyle w:val="Heading1"/>
      </w:pPr>
      <w:r>
        <w:rPr>
          <w:rFonts w:ascii="Arial" w:hAnsi="Arial"/>
          <w:color w:val="FF5C41"/>
          <w:sz w:val="28"/>
        </w:rPr>
        <w:t>Recommended Actions</w:t>
      </w:r>
    </w:p>
    <w:p>
      <w:pPr>
        <w:pStyle w:val="ListBullet"/>
      </w:pPr>
      <w:r>
        <w:rPr>
          <w:sz w:val="20"/>
        </w:rPr>
        <w:t>Patch all high-severity vulnerabilities detected on five or more systems within seven days, prioritizing CVE-2023-33999, CVE-2021-39317, and CVE-2022-23975.</w:t>
      </w:r>
    </w:p>
    <w:p>
      <w:pPr>
        <w:pStyle w:val="ListBullet"/>
      </w:pPr>
      <w:r>
        <w:rPr>
          <w:sz w:val="20"/>
        </w:rPr>
        <w:t>Review and update legacy systems and laboratory IoT devices for vulnerabilities such as CVE-2012-4272 and CVE-2017-14622 to ensure compliance with HIPAA and FDA regulations.</w:t>
      </w:r>
    </w:p>
    <w:p>
      <w:pPr>
        <w:pStyle w:val="ListBullet"/>
      </w:pPr>
      <w:r>
        <w:rPr>
          <w:sz w:val="20"/>
        </w:rPr>
        <w:t>Enhance monitoring for ransomware and extortion activity, especially in manufacturing and healthcare networks, based on CrowdStrike APT targeting trends.</w:t>
      </w:r>
    </w:p>
    <w:p>
      <w:pPr>
        <w:pStyle w:val="ListBullet"/>
      </w:pPr>
      <w:r>
        <w:rPr>
          <w:sz w:val="20"/>
        </w:rPr>
        <w:t>Implement network segmentation and access controls to limit lateral movement and reduce risk of data exposure.</w:t>
      </w:r>
    </w:p>
    <w:p>
      <w:pPr>
        <w:pStyle w:val="ListBullet"/>
      </w:pPr>
      <w:r>
        <w:rPr>
          <w:sz w:val="20"/>
        </w:rPr>
        <w:t>Monitor for AI-powered phishing and extortion campaigns as highlighted in OSINT sources, and provide targeted user awareness training.</w:t>
      </w:r>
    </w:p>
    <w:p/>
    <w:p>
      <w:pPr>
        <w:pStyle w:val="Heading1"/>
      </w:pPr>
      <w:r>
        <w:rPr>
          <w:rFonts w:ascii="Arial" w:hAnsi="Arial"/>
          <w:color w:val="FF5C41"/>
          <w:sz w:val="28"/>
        </w:rPr>
        <w:t>Sources</w:t>
      </w:r>
    </w:p>
    <w:p>
      <w:pPr>
        <w:pStyle w:val="ListBullet"/>
      </w:pPr>
      <w:r>
        <w:rPr>
          <w:b/>
          <w:sz w:val="20"/>
        </w:rPr>
        <w:t>NIST National Vulnerability Database (NVD)</w:t>
      </w:r>
      <w:r>
        <w:rPr>
          <w:color w:val="666666"/>
          <w:sz w:val="20"/>
        </w:rPr>
        <w:t xml:space="preserve">  https://nvd.nist.gov/</w:t>
      </w:r>
    </w:p>
    <w:p>
      <w:pPr>
        <w:pStyle w:val="ListBullet"/>
      </w:pPr>
      <w:r>
        <w:rPr>
          <w:b/>
          <w:sz w:val="20"/>
        </w:rPr>
        <w:t>CISA Known Exploited Vulnerabilities (KEV) Catalog</w:t>
      </w:r>
      <w:r>
        <w:rPr>
          <w:color w:val="666666"/>
          <w:sz w:val="20"/>
        </w:rPr>
        <w:t xml:space="preserve">  https://www.cisa.gov/known-exploited-vulnerabilities-catalog</w:t>
      </w:r>
    </w:p>
    <w:p>
      <w:pPr>
        <w:pStyle w:val="ListBullet"/>
      </w:pPr>
      <w:r>
        <w:rPr>
          <w:b/>
          <w:sz w:val="20"/>
        </w:rPr>
        <w:t>Rapid7 InsightVM</w:t>
      </w:r>
      <w:r>
        <w:rPr>
          <w:color w:val="666666"/>
          <w:sz w:val="20"/>
        </w:rPr>
        <w:t xml:space="preserve"> — Asset vulnerability scans and exposure data</w:t>
      </w:r>
    </w:p>
    <w:p>
      <w:pPr>
        <w:pStyle w:val="ListBullet"/>
      </w:pPr>
      <w:r>
        <w:rPr>
          <w:b/>
          <w:sz w:val="20"/>
        </w:rPr>
        <w:t>CrowdStrike Falcon Intelligence</w:t>
      </w:r>
      <w:r>
        <w:rPr>
          <w:color w:val="666666"/>
          <w:sz w:val="20"/>
        </w:rPr>
        <w:t xml:space="preserve"> — Threat actor profiles and APT tracking</w:t>
      </w:r>
    </w:p>
    <w:p>
      <w:pPr>
        <w:pStyle w:val="ListBullet"/>
      </w:pPr>
      <w:r>
        <w:rPr>
          <w:b/>
          <w:sz w:val="20"/>
        </w:rPr>
        <w:t>Intel471 Titan</w:t>
      </w:r>
      <w:r>
        <w:rPr>
          <w:color w:val="666666"/>
          <w:sz w:val="20"/>
        </w:rPr>
        <w:t xml:space="preserve"> — Underground threat intelligence and breach reporting</w:t>
      </w:r>
    </w:p>
    <w:p>
      <w:pPr>
        <w:pStyle w:val="ListBullet"/>
      </w:pPr>
      <w:r>
        <w:rPr>
          <w:b/>
          <w:sz w:val="20"/>
        </w:rPr>
        <w:t>ThreatQ</w:t>
      </w:r>
      <w:r>
        <w:rPr>
          <w:color w:val="666666"/>
          <w:sz w:val="20"/>
        </w:rPr>
        <w:t xml:space="preserve"> — Indicator of compromise (IOC) aggregation</w:t>
      </w:r>
    </w:p>
    <w:p>
      <w:pPr>
        <w:pStyle w:val="ListBullet"/>
      </w:pPr>
      <w:r>
        <w:rPr>
          <w:b/>
          <w:sz w:val="20"/>
        </w:rPr>
        <w:t>MITRE ATT&amp;CK</w:t>
      </w:r>
      <w:r>
        <w:rPr>
          <w:color w:val="666666"/>
          <w:sz w:val="20"/>
        </w:rPr>
        <w:t xml:space="preserve">  https://attack.mitre.org/</w:t>
      </w:r>
    </w:p>
    <w:p/>
    <w:p>
      <w:pPr>
        <w:jc w:val="center"/>
      </w:pPr>
      <w:r>
        <w:rPr>
          <w:b/>
          <w:sz w:val="20"/>
        </w:rPr>
        <w:t>Questions or suspicious activity: secops@company.com | ServiceNow | cti@company.com</w:t>
      </w:r>
    </w:p>
    <w:p/>
    <w:sectPr w:rsidR="00FC693F" w:rsidRPr="0006063C" w:rsidSect="00034616">
      <w:background w:color="FFFFFF"/>
      <w:pgPr>
        <w:vAlign w:val="top"/>
      </w:pgPr>
      <w:headerReference w:type="default" r:id="rId9"/>
      <w:pgSz w:w="12240" w:h="15840"/>
      <w:pgMar w:top="1800" w:right="1080" w:bottom="1267" w:left="108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6400800" cy="687772"/>
          <wp:docPr id="1" name="Picture 1"/>
          <wp:cNvGraphicFramePr>
            <a:graphicFrameLocks noChangeAspect="1"/>
          </wp:cNvGraphicFramePr>
          <a:graphic>
            <a:graphicData uri="http://schemas.openxmlformats.org/drawingml/2006/picture">
              <pic:pic>
                <pic:nvPicPr>
                  <pic:cNvPr id="0" name="Bulletin_banner.jpg"/>
                  <pic:cNvPicPr/>
                </pic:nvPicPr>
                <pic:blipFill>
                  <a:blip r:embed="rId1"/>
                  <a:stretch>
                    <a:fillRect/>
                  </a:stretch>
                </pic:blipFill>
                <pic:spPr>
                  <a:xfrm>
                    <a:off x="0" y="0"/>
                    <a:ext cx="6400800" cy="687772"/>
                  </a:xfrm>
                  <a:prstGeom prst="rect"/>
                </pic:spPr>
              </pic:pic>
            </a:graphicData>
          </a:graphic>
        </wp:inline>
      </w:drawing>
    </w:r>
  </w:p>
  <w:p>
    <w:pPr>
      <w:spacing w:before="40" w:after="0"/>
      <w:jc w:val="right"/>
    </w:pPr>
    <w:r>
      <w:rPr>
        <w:rFonts w:ascii="Consolas" w:hAnsi="Consolas"/>
        <w:color w:val="B0B0B0"/>
        <w:sz w:val="16"/>
      </w:rPr>
      <w:t>CTI-WK-2026-17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0" w:lineRule="auto"/>
    </w:pPr>
    <w:rPr>
      <w:rFonts w:ascii="Arial" w:hAnsi="Arial"/>
      <w:color w:val="33333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60" w:line="240" w:lineRule="auto"/>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60" w:line="240"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0" w:after="60" w:line="240"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