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0" w:line="216" w:lineRule="auto"/>
        <w:jc w:val="left"/>
      </w:pPr>
      <w:r>
        <w:rPr>
          <w:rFonts w:ascii="Arial" w:hAnsi="Arial"/>
          <w:b/>
          <w:color w:val="FF5C41"/>
          <w:sz w:val="36"/>
        </w:rPr>
        <w:t>Cyber Threat Intelligence Weekly Report</w:t>
      </w:r>
    </w:p>
    <w:p>
      <w:pPr>
        <w:spacing w:before="40" w:after="120"/>
        <w:jc w:val="left"/>
      </w:pPr>
      <w:r>
        <w:rPr>
          <w:rFonts w:ascii="Arial" w:hAnsi="Arial"/>
          <w:color w:val="B0B0B0"/>
          <w:sz w:val="20"/>
        </w:rPr>
        <w:t>7-Day Lookback | April 18 to April 25, 2026</w:t>
      </w:r>
    </w:p>
    <w:p/>
    <w:p>
      <w:pPr>
        <w:pStyle w:val="Heading1"/>
        <w:spacing w:before="0" w:after="0"/>
      </w:pPr>
      <w:r>
        <w:rPr>
          <w:rFonts w:ascii="Arial" w:hAnsi="Arial"/>
          <w:b/>
          <w:color w:val="FF5C41"/>
          <w:sz w:val="28"/>
        </w:rPr>
        <w:t>Executive Summary</w:t>
      </w:r>
    </w:p>
    <w:p>
      <w:pPr>
        <w:spacing w:before="0" w:after="0"/>
        <w:jc w:val="center"/>
      </w:pPr>
      <w:r>
        <w:rPr>
          <w:color w:val="666666"/>
          <w:sz w:val="21"/>
        </w:rPr>
        <w:t>•</w:t>
      </w:r>
    </w:p>
    <w:p>
      <w:pPr>
        <w:spacing w:before="0" w:after="80" w:line="360" w:lineRule="auto"/>
      </w:pPr>
      <w:r>
        <w:rPr>
          <w:rFonts w:ascii="Arial" w:hAnsi="Arial"/>
          <w:color w:val="333333"/>
          <w:sz w:val="21"/>
        </w:rPr>
        <w:t xml:space="preserve">This week's threat landscape for genomics, biotech, and manufacturing organizations is defined by a broad exposure to high and critical vulnerabilities, with several CVEs impacting multiple systems. While no vulnerabilities detected in our environment are currently flagged as actively exploited, the presence of high-severity issues on core infrastructure, including legacy and widely used platforms, increases the risk of compromise through ransomware, data theft, or operational disruption. The exposure of research data, laboratory equipment, and healthcare systems remains a significant concern, especially given the targeting of these sectors by both financially motivated and state-sponsored threat actors. </w:t>
        <w:br/>
        <w:br/>
        <w:t>Recent OSINT reporting highlights the rapid evolution of social engineering and malware delivery tactics, such as the use of Microsoft Teams for initial access and the persistence of advanced malware on network devices. Multiple criminal and state-sponsored groups tracked by CrowdStrike continue to target manufacturing, healthcare, and biotech, with a focus on intellectual property theft, extortion, and supply chain compromise. The intersection of unpatched vulnerabilities and active threat actor interest in these sectors underscores the need for prioritized patching, enhanced monitoring, and supply chain due diligence.</w:t>
      </w:r>
    </w:p>
    <w:p>
      <w:pPr>
        <w:pStyle w:val="Heading1"/>
        <w:spacing w:before="120" w:after="0"/>
      </w:pPr>
      <w:r>
        <w:rPr>
          <w:rFonts w:ascii="Arial" w:hAnsi="Arial"/>
          <w:b/>
          <w:color w:val="FF5C41"/>
          <w:sz w:val="28"/>
        </w:rPr>
        <w:t xml:space="preserve">This Week </w:t>
      </w:r>
      <w:r>
        <w:rPr>
          <w:rFonts w:ascii="Arial" w:hAnsi="Arial"/>
          <w:b/>
          <w:color w:val="FF5C41"/>
          <w:sz w:val="28"/>
          <w:u w:val="none"/>
        </w:rPr>
        <w:t>at a Glance</w:t>
      </w:r>
    </w:p>
    <w:p>
      <w:pPr>
        <w:spacing w:before="200" w:after="80"/>
      </w:pPr>
      <w:r>
        <w:rPr>
          <w:rFonts w:ascii="Arial" w:hAnsi="Arial"/>
          <w:i/>
          <w:color w:val="B0B0B0"/>
          <w:sz w:val="18"/>
        </w:rPr>
        <w:t>Vulnerability and threat actor metrics from automated collection (April 18 to April 25, 2026).</w:t>
      </w:r>
    </w:p>
    <w:tbl>
      <w:tblPr>
        <w:tblW w:type="auto" w:w="0"/>
        <w:jc w:val="center"/>
        <w:tblLook w:firstColumn="1" w:firstRow="1" w:lastColumn="0" w:lastRow="0" w:noHBand="0" w:noVBand="1" w:val="04A0"/>
      </w:tblPr>
      <w:tblGrid>
        <w:gridCol w:w="3360"/>
        <w:gridCol w:w="3360"/>
        <w:gridCol w:w="3360"/>
      </w:tblGrid>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5C41"/>
                <w:sz w:val="44"/>
              </w:rPr>
              <w:t>36</w:t>
            </w:r>
          </w:p>
          <w:p>
            <w:pPr>
              <w:spacing w:before="0" w:after="40"/>
              <w:jc w:val="center"/>
            </w:pPr>
            <w:r>
              <w:rPr>
                <w:b/>
                <w:color w:val="000000"/>
                <w:sz w:val="20"/>
              </w:rPr>
              <w:t>New This Week</w:t>
            </w:r>
          </w:p>
          <w:p>
            <w:pPr>
              <w:spacing w:before="0" w:after="160"/>
              <w:jc w:val="center"/>
            </w:pPr>
            <w:r>
              <w:rPr>
                <w:rFonts w:ascii="Arial" w:hAnsi="Arial"/>
                <w:color w:val="666666"/>
                <w:sz w:val="16"/>
              </w:rPr>
              <w:t>First appearance in Rapid7 scans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5C41"/>
                <w:sz w:val="44"/>
              </w:rPr>
              <w:t>0</w:t>
            </w:r>
          </w:p>
          <w:p>
            <w:pPr>
              <w:spacing w:before="0" w:after="40"/>
              <w:jc w:val="center"/>
            </w:pPr>
            <w:r>
              <w:rPr>
                <w:b/>
                <w:color w:val="000000"/>
                <w:sz w:val="20"/>
              </w:rPr>
              <w:t>Persistent (3+ Wks)</w:t>
            </w:r>
          </w:p>
          <w:p>
            <w:pPr>
              <w:spacing w:before="0" w:after="160"/>
              <w:jc w:val="center"/>
            </w:pPr>
            <w:r>
              <w:rPr>
                <w:rFonts w:ascii="Arial" w:hAnsi="Arial"/>
                <w:color w:val="666666"/>
                <w:sz w:val="16"/>
              </w:rPr>
              <w:t>Unresolved from prior reports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2ECC71"/>
                <w:sz w:val="44"/>
              </w:rPr>
              <w:t>0</w:t>
            </w:r>
          </w:p>
          <w:p>
            <w:pPr>
              <w:spacing w:before="0" w:after="40"/>
              <w:jc w:val="center"/>
            </w:pPr>
            <w:r>
              <w:rPr>
                <w:b/>
                <w:color w:val="000000"/>
                <w:sz w:val="20"/>
              </w:rPr>
              <w:t>Resolved</w:t>
            </w:r>
          </w:p>
          <w:p>
            <w:pPr>
              <w:spacing w:before="0" w:after="160"/>
              <w:jc w:val="center"/>
            </w:pPr>
            <w:r>
              <w:rPr>
                <w:rFonts w:ascii="Arial" w:hAnsi="Arial"/>
                <w:color w:val="666666"/>
                <w:sz w:val="16"/>
              </w:rPr>
              <w:t>Remediated since last week</w:t>
            </w:r>
          </w:p>
        </w:tc>
      </w:tr>
    </w:tbl>
    <w:p>
      <w:pPr>
        <w:spacing w:before="0" w:after="400"/>
      </w:pPr>
    </w:p>
    <w:tbl>
      <w:tblPr>
        <w:tblW w:type="auto" w:w="0"/>
        <w:jc w:val="center"/>
        <w:tblLook w:firstColumn="1" w:firstRow="1" w:lastColumn="0" w:lastRow="0" w:noHBand="0" w:noVBand="1" w:val="04A0"/>
      </w:tblPr>
      <w:tblGrid>
        <w:gridCol w:w="3360"/>
        <w:gridCol w:w="3360"/>
        <w:gridCol w:w="3360"/>
      </w:tblGrid>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36</w:t>
            </w:r>
          </w:p>
          <w:p>
            <w:pPr>
              <w:spacing w:before="0" w:after="40"/>
              <w:jc w:val="center"/>
            </w:pPr>
            <w:r>
              <w:rPr>
                <w:b/>
                <w:color w:val="000000"/>
                <w:sz w:val="20"/>
              </w:rPr>
              <w:t>Total Exposed</w:t>
            </w:r>
          </w:p>
          <w:p>
            <w:pPr>
              <w:spacing w:before="0" w:after="160"/>
              <w:jc w:val="center"/>
            </w:pPr>
            <w:r>
              <w:rPr>
                <w:rFonts w:ascii="Arial" w:hAnsi="Arial"/>
                <w:color w:val="666666"/>
                <w:sz w:val="16"/>
              </w:rPr>
              <w:t>CVEs on assets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0</w:t>
            </w:r>
          </w:p>
          <w:p>
            <w:pPr>
              <w:spacing w:before="0" w:after="40"/>
              <w:jc w:val="center"/>
            </w:pPr>
            <w:r>
              <w:rPr>
                <w:b/>
                <w:color w:val="000000"/>
                <w:sz w:val="20"/>
              </w:rPr>
              <w:t>Actively Exploited</w:t>
            </w:r>
          </w:p>
          <w:p>
            <w:pPr>
              <w:spacing w:before="0" w:after="160"/>
              <w:jc w:val="center"/>
            </w:pPr>
            <w:r>
              <w:rPr>
                <w:rFonts w:ascii="Arial" w:hAnsi="Arial"/>
                <w:color w:val="666666"/>
                <w:sz w:val="16"/>
              </w:rPr>
              <w:t>Confirmed threat actor use</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4</w:t>
            </w:r>
          </w:p>
          <w:p>
            <w:pPr>
              <w:spacing w:before="0" w:after="40"/>
              <w:jc w:val="center"/>
            </w:pPr>
            <w:r>
              <w:rPr>
                <w:b/>
                <w:color w:val="000000"/>
                <w:sz w:val="20"/>
              </w:rPr>
              <w:t>Actor Groups</w:t>
            </w:r>
          </w:p>
          <w:p>
            <w:pPr>
              <w:spacing w:before="0" w:after="160"/>
              <w:jc w:val="center"/>
            </w:pPr>
            <w:r>
              <w:rPr>
                <w:rFonts w:ascii="Arial" w:hAnsi="Arial"/>
                <w:color w:val="666666"/>
                <w:sz w:val="16"/>
              </w:rPr>
              <w:t>Targeting biotech sector</w:t>
            </w:r>
          </w:p>
        </w:tc>
      </w:tr>
    </w:tbl>
    <w:p>
      <w:pPr>
        <w:spacing w:before="0" w:after="120"/>
      </w:pPr>
    </w:p>
    <w:p>
      <w:pPr>
        <w:pStyle w:val="Heading1"/>
      </w:pPr>
      <w:r>
        <w:rPr>
          <w:rFonts w:ascii="Arial" w:hAnsi="Arial"/>
          <w:color w:val="FF5C41"/>
          <w:sz w:val="28"/>
        </w:rPr>
        <w:t>Vulnerability Exposure</w:t>
      </w:r>
    </w:p>
    <w:tbl>
      <w:tblPr>
        <w:tblW w:type="auto" w:w="0"/>
        <w:tblLook w:firstColumn="1" w:firstRow="1" w:lastColumn="0" w:lastRow="0" w:noHBand="0" w:noVBand="1" w:val="04A0"/>
      </w:tblPr>
      <w:tblGrid>
        <w:gridCol w:w="1680"/>
        <w:gridCol w:w="1680"/>
        <w:gridCol w:w="1680"/>
        <w:gridCol w:w="1680"/>
        <w:gridCol w:w="1680"/>
        <w:gridCol w:w="1680"/>
      </w:tblGrid>
      <w:tr>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CVE ID</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Affected Product</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Exposure</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Exploited By</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Priority</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Wks</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CVE-2023-33999</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Unknown (see asset inventory for specifics)</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7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CVE-2021-39317</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Unknown (see asset inventory for specifics)</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7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CVE-2022-23975</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Unknown (see asset inventory for specifics)</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7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CVE-2022-4974</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Unknown (see asset inventory for specifics)</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6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CVE-2024-13555</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Unknown (see asset inventory for specifics)</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24</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CVE-2024-13609</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Unknown (see asset inventory for specifics)</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24</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CVE-2025-64293</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Unknown (see asset inventory for specifics)</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22</w:t>
            </w:r>
          </w:p>
        </w:tc>
      </w:tr>
    </w:tbl>
    <w:p>
      <w:pPr>
        <w:jc w:val="left"/>
      </w:pPr>
      <w:r>
        <w:rPr>
          <w:rFonts w:ascii="Arial" w:hAnsi="Arial"/>
          <w:i/>
          <w:color w:val="666666"/>
          <w:sz w:val="14"/>
        </w:rPr>
        <w:t>Priority: P1 = Address immediately (24-48 hours) • P2 = Patch within 7-14 days • P3 = Schedule within 30 days   |   Wks = consecutive weeks detected. Items at 3+ weeks (yellow) are persistent and require escalation. Items at 4+ weeks (red) are long overdue. Source: Rapid7 InsightVM scans.</w:t>
      </w:r>
    </w:p>
    <w:p/>
    <w:p>
      <w:pPr>
        <w:pStyle w:val="Heading1"/>
      </w:pPr>
      <w:r>
        <w:rPr>
          <w:rFonts w:ascii="Arial" w:hAnsi="Arial"/>
          <w:color w:val="FF5C41"/>
          <w:sz w:val="28"/>
        </w:rPr>
        <w:t>Sector Threat Activity</w:t>
      </w:r>
    </w:p>
    <w:p>
      <w:r>
        <w:rPr>
          <w:i/>
          <w:color w:val="666666"/>
          <w:sz w:val="20"/>
        </w:rPr>
        <w:t>The following threat actors have been observed targeting organizations in the biotech, pharmaceutical, healthcare, manufacturing, and related sectors this week.</w:t>
      </w:r>
    </w:p>
    <w:p/>
    <w:tbl>
      <w:tblPr>
        <w:tblW w:type="auto" w:w="0"/>
        <w:tblLook w:firstColumn="1" w:firstRow="1" w:lastColumn="0" w:lastRow="0" w:noHBand="0" w:noVBand="1" w:val="04A0"/>
      </w:tblPr>
      <w:tblGrid>
        <w:gridCol w:w="3360"/>
        <w:gridCol w:w="3360"/>
        <w:gridCol w:w="3360"/>
      </w:tblGrid>
      <w:tr>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Origin / Motivation</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Activity Observed</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What to Monitor</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Unknown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VICE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suspicious file encryption activity, lateral movement, and data exfiltration attempts. Watch for phishing and credential harvesting.</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Russian Federation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TRAVELING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ransomware indicators, unusual process creation, and outbound connections to known C2 infrastructure.</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China</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CASCADE PANDA</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spear phishing, credential harvesting, and suspicious access to research databases. Watch for connections to Asia-Pacific regions.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Iran</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HYDRO KITTEN</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credential harvesting, PowerShell activity, and persistence mechanisms.</w:t>
            </w:r>
          </w:p>
        </w:tc>
      </w:tr>
    </w:tbl>
    <w:p/>
    <w:p>
      <w:pPr>
        <w:pStyle w:val="Heading1"/>
      </w:pPr>
      <w:r>
        <w:rPr>
          <w:rFonts w:ascii="Arial" w:hAnsi="Arial"/>
          <w:color w:val="FF5C41"/>
          <w:sz w:val="28"/>
        </w:rPr>
        <w:t>Exploitation Indicators for This Week's CVEs</w:t>
      </w:r>
    </w:p>
    <w:p>
      <w:pPr>
        <w:pStyle w:val="ListBullet"/>
      </w:pPr>
      <w:r>
        <w:rPr>
          <w:b/>
          <w:sz w:val="20"/>
        </w:rPr>
        <w:t>CVE-2023-33999 (Unknown (see asset inventory for specifics)): A high-severity vulnerability with confirmed exposure on 7 systems. May allow attackers to compromise system integrity or availability.</w:t>
      </w:r>
    </w:p>
    <w:p>
      <w:pPr>
        <w:pStyle w:val="ListBullet"/>
      </w:pPr>
      <w:r>
        <w:rPr>
          <w:b/>
          <w:sz w:val="20"/>
        </w:rPr>
        <w:t>CVE-2021-39317 (Unknown (see asset inventory for specifics)): A high-severity vulnerability impacting 7 systems. Potential for remote code execution or data compromise.</w:t>
      </w:r>
    </w:p>
    <w:p>
      <w:pPr>
        <w:pStyle w:val="ListBullet"/>
      </w:pPr>
      <w:r>
        <w:rPr>
          <w:b/>
          <w:sz w:val="20"/>
        </w:rPr>
        <w:t>CVE-2022-23975 (Unknown (see asset inventory for specifics)): A high-severity vulnerability with exposure on 7 systems. May allow unauthorized access or privilege escalation.</w:t>
      </w:r>
    </w:p>
    <w:p>
      <w:pPr>
        <w:pStyle w:val="ListBullet"/>
      </w:pPr>
      <w:r>
        <w:rPr>
          <w:b/>
          <w:sz w:val="20"/>
        </w:rPr>
        <w:t>CVE-2022-4974 (Unknown (see asset inventory for specifics)): A high-severity vulnerability detected on 6 systems. May enable remote attackers to compromise affected hosts.</w:t>
      </w:r>
    </w:p>
    <w:p>
      <w:pPr>
        <w:pStyle w:val="ListBullet"/>
      </w:pPr>
      <w:r>
        <w:rPr>
          <w:b/>
          <w:sz w:val="20"/>
        </w:rPr>
        <w:t>CVE-2024-13555 (Unknown (see asset inventory for specifics)): High-severity vulnerability detected on a single system. May allow for unauthorized access or data exposure.</w:t>
      </w:r>
    </w:p>
    <w:p/>
    <w:p>
      <w:pPr>
        <w:pStyle w:val="Heading1"/>
      </w:pPr>
      <w:r>
        <w:rPr>
          <w:rFonts w:ascii="Arial" w:hAnsi="Arial"/>
          <w:color w:val="FF5C41"/>
          <w:sz w:val="28"/>
        </w:rPr>
        <w:t>Recommended Actions</w:t>
      </w:r>
    </w:p>
    <w:p>
      <w:pPr>
        <w:pStyle w:val="ListBullet"/>
      </w:pPr>
      <w:r>
        <w:rPr>
          <w:sz w:val="20"/>
        </w:rPr>
        <w:t>Prioritize patching of vulnerabilities with exposure on 5 or more systems (e.g., CVE-2023-33999, CVE-2021-39317, CVE-2022-23975, CVE-2022-4974) within 7 days to reduce risk of lateral movement and mass exploitation.</w:t>
      </w:r>
    </w:p>
    <w:p>
      <w:pPr>
        <w:pStyle w:val="ListBullet"/>
      </w:pPr>
      <w:r>
        <w:rPr>
          <w:b/>
          <w:sz w:val="20"/>
        </w:rPr>
        <w:t>Review asset inventory to confirm affected products for all detected CVEs and ensure compensating controls are in place where immediate patching is not possible.</w:t>
      </w:r>
    </w:p>
    <w:p>
      <w:pPr>
        <w:pStyle w:val="ListBullet"/>
      </w:pPr>
      <w:r>
        <w:rPr>
          <w:sz w:val="20"/>
        </w:rPr>
        <w:t>Enhance monitoring for ransomware and extortion group TTPs, including file encryption activity, suspicious process creation, and outbound connections to known C2 infrastructure.</w:t>
      </w:r>
    </w:p>
    <w:p>
      <w:pPr>
        <w:pStyle w:val="ListBullet"/>
      </w:pPr>
      <w:r>
        <w:rPr>
          <w:sz w:val="20"/>
        </w:rPr>
        <w:t>Increase user awareness and technical controls around collaboration platforms (e.g., Microsoft Teams) to mitigate emerging malware delivery techniques as highlighted in recent OSINT reporting.</w:t>
      </w:r>
    </w:p>
    <w:p>
      <w:pPr>
        <w:pStyle w:val="ListBullet"/>
      </w:pPr>
      <w:r>
        <w:rPr>
          <w:sz w:val="20"/>
        </w:rPr>
        <w:t>Conduct regular supply chain and vendor security assessments to ensure third-party partners are not introducing additional risk, especially in light of ongoing supply chain targeting by criminal and state-sponsored actors.</w:t>
      </w:r>
    </w:p>
    <w:p/>
    <w:p>
      <w:pPr>
        <w:pStyle w:val="Heading1"/>
      </w:pPr>
      <w:r>
        <w:rPr>
          <w:rFonts w:ascii="Arial" w:hAnsi="Arial"/>
          <w:color w:val="FF5C41"/>
          <w:sz w:val="28"/>
        </w:rPr>
        <w:t>Sources</w:t>
      </w:r>
    </w:p>
    <w:p>
      <w:pPr>
        <w:pStyle w:val="ListBullet"/>
      </w:pPr>
      <w:r>
        <w:rPr>
          <w:b/>
          <w:sz w:val="20"/>
        </w:rPr>
        <w:t>NIST National Vulnerability Database (NVD)</w:t>
      </w:r>
      <w:r>
        <w:rPr>
          <w:color w:val="666666"/>
          <w:sz w:val="20"/>
        </w:rPr>
        <w:t xml:space="preserve">  https://nvd.nist.gov/</w:t>
      </w:r>
    </w:p>
    <w:p>
      <w:pPr>
        <w:pStyle w:val="ListBullet"/>
      </w:pPr>
      <w:r>
        <w:rPr>
          <w:b/>
          <w:sz w:val="20"/>
        </w:rPr>
        <w:t>CISA Known Exploited Vulnerabilities (KEV) Catalog</w:t>
      </w:r>
      <w:r>
        <w:rPr>
          <w:color w:val="666666"/>
          <w:sz w:val="20"/>
        </w:rPr>
        <w:t xml:space="preserve">  https://www.cisa.gov/known-exploited-vulnerabilities-catalog</w:t>
      </w:r>
    </w:p>
    <w:p>
      <w:pPr>
        <w:pStyle w:val="ListBullet"/>
      </w:pPr>
      <w:r>
        <w:rPr>
          <w:b/>
          <w:sz w:val="20"/>
        </w:rPr>
        <w:t>Rapid7 InsightVM</w:t>
      </w:r>
      <w:r>
        <w:rPr>
          <w:color w:val="666666"/>
          <w:sz w:val="20"/>
        </w:rPr>
        <w:t xml:space="preserve"> — Asset vulnerability scans and exposure data</w:t>
      </w:r>
    </w:p>
    <w:p>
      <w:pPr>
        <w:pStyle w:val="ListBullet"/>
      </w:pPr>
      <w:r>
        <w:rPr>
          <w:b/>
          <w:sz w:val="20"/>
        </w:rPr>
        <w:t>CrowdStrike Falcon Intelligence</w:t>
      </w:r>
      <w:r>
        <w:rPr>
          <w:color w:val="666666"/>
          <w:sz w:val="20"/>
        </w:rPr>
        <w:t xml:space="preserve"> — Threat actor profiles and APT tracking</w:t>
      </w:r>
    </w:p>
    <w:p>
      <w:pPr>
        <w:pStyle w:val="ListBullet"/>
      </w:pPr>
      <w:r>
        <w:rPr>
          <w:b/>
          <w:sz w:val="20"/>
        </w:rPr>
        <w:t>Intel471 Titan</w:t>
      </w:r>
      <w:r>
        <w:rPr>
          <w:color w:val="666666"/>
          <w:sz w:val="20"/>
        </w:rPr>
        <w:t xml:space="preserve"> — Underground threat intelligence and breach reporting</w:t>
      </w:r>
    </w:p>
    <w:p>
      <w:pPr>
        <w:pStyle w:val="ListBullet"/>
      </w:pPr>
      <w:r>
        <w:rPr>
          <w:b/>
          <w:sz w:val="20"/>
        </w:rPr>
        <w:t>ThreatQ</w:t>
      </w:r>
      <w:r>
        <w:rPr>
          <w:color w:val="666666"/>
          <w:sz w:val="20"/>
        </w:rPr>
        <w:t xml:space="preserve"> — Indicator of compromise (IOC) aggregation</w:t>
      </w:r>
    </w:p>
    <w:p>
      <w:pPr>
        <w:pStyle w:val="ListBullet"/>
      </w:pPr>
      <w:r>
        <w:rPr>
          <w:b/>
          <w:sz w:val="20"/>
        </w:rPr>
        <w:t>MITRE ATT&amp;CK</w:t>
      </w:r>
      <w:r>
        <w:rPr>
          <w:color w:val="666666"/>
          <w:sz w:val="20"/>
        </w:rPr>
        <w:t xml:space="preserve">  https://attack.mitre.org/</w:t>
      </w:r>
    </w:p>
    <w:p/>
    <w:p>
      <w:pPr>
        <w:jc w:val="center"/>
      </w:pPr>
      <w:r>
        <w:rPr>
          <w:b/>
          <w:sz w:val="20"/>
        </w:rPr>
        <w:t>Questions or suspicious activity: secops@company.com | ServiceNow | cti@company.com</w:t>
      </w:r>
    </w:p>
    <w:p/>
    <w:sectPr w:rsidR="00FC693F" w:rsidRPr="0006063C" w:rsidSect="00034616">
      <w:background w:color="FFFFFF"/>
      <w:pgPr>
        <w:vAlign w:val="top"/>
      </w:pgPr>
      <w:headerReference w:type="default" r:id="rId9"/>
      <w:pgSz w:w="12240" w:h="15840"/>
      <w:pgMar w:top="1800" w:right="1080" w:bottom="1267" w:left="108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400800" cy="687772"/>
          <wp:docPr id="1" name="Picture 1"/>
          <wp:cNvGraphicFramePr>
            <a:graphicFrameLocks noChangeAspect="1"/>
          </wp:cNvGraphicFramePr>
          <a:graphic>
            <a:graphicData uri="http://schemas.openxmlformats.org/drawingml/2006/picture">
              <pic:pic>
                <pic:nvPicPr>
                  <pic:cNvPr id="0" name="Bulletin_banner.jpg"/>
                  <pic:cNvPicPr/>
                </pic:nvPicPr>
                <pic:blipFill>
                  <a:blip r:embed="rId1"/>
                  <a:stretch>
                    <a:fillRect/>
                  </a:stretch>
                </pic:blipFill>
                <pic:spPr>
                  <a:xfrm>
                    <a:off x="0" y="0"/>
                    <a:ext cx="6400800" cy="687772"/>
                  </a:xfrm>
                  <a:prstGeom prst="rect"/>
                </pic:spPr>
              </pic:pic>
            </a:graphicData>
          </a:graphic>
        </wp:inline>
      </w:drawing>
    </w:r>
  </w:p>
  <w:p>
    <w:pPr>
      <w:spacing w:before="40" w:after="0"/>
      <w:jc w:val="right"/>
    </w:pPr>
    <w:r>
      <w:rPr>
        <w:rFonts w:ascii="Consolas" w:hAnsi="Consolas"/>
        <w:color w:val="B0B0B0"/>
        <w:sz w:val="16"/>
      </w:rPr>
      <w:t>CTI-WK-2026-17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Arial" w:hAnsi="Arial"/>
      <w:color w:val="33333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line="240" w:lineRule="auto"/>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60" w:line="240"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60" w:line="240"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