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0" w:line="216" w:lineRule="auto"/>
        <w:jc w:val="left"/>
      </w:pPr>
      <w:r>
        <w:rPr>
          <w:rFonts w:ascii="Arial" w:hAnsi="Arial"/>
          <w:b/>
          <w:color w:val="FF5C41"/>
          <w:sz w:val="36"/>
        </w:rPr>
        <w:t>Cyber Threat Intelligence Weekly Report</w:t>
      </w:r>
    </w:p>
    <w:p>
      <w:pPr>
        <w:spacing w:before="40" w:after="120"/>
        <w:jc w:val="left"/>
      </w:pPr>
      <w:r>
        <w:rPr>
          <w:rFonts w:ascii="Arial" w:hAnsi="Arial"/>
          <w:color w:val="B0B0B0"/>
          <w:sz w:val="20"/>
        </w:rPr>
        <w:t>7-Day Lookback | April 18 to April 25, 2026</w:t>
      </w:r>
    </w:p>
    <w:p/>
    <w:p>
      <w:pPr>
        <w:pStyle w:val="Heading1"/>
        <w:spacing w:before="0" w:after="0"/>
      </w:pPr>
      <w:r>
        <w:rPr>
          <w:rFonts w:ascii="Arial" w:hAnsi="Arial"/>
          <w:b/>
          <w:color w:val="FF5C41"/>
          <w:sz w:val="28"/>
        </w:rPr>
        <w:t>Executive Summary</w:t>
      </w:r>
    </w:p>
    <w:p>
      <w:pPr>
        <w:spacing w:before="0" w:after="0"/>
        <w:jc w:val="center"/>
      </w:pPr>
      <w:r>
        <w:rPr>
          <w:color w:val="666666"/>
          <w:sz w:val="21"/>
        </w:rPr>
        <w:t>•</w:t>
      </w:r>
    </w:p>
    <w:p>
      <w:pPr>
        <w:spacing w:before="0" w:after="80" w:line="360" w:lineRule="auto"/>
      </w:pPr>
      <w:r>
        <w:rPr>
          <w:rFonts w:ascii="Arial" w:hAnsi="Arial"/>
          <w:color w:val="333333"/>
          <w:sz w:val="21"/>
        </w:rPr>
        <w:t>This week's threat intelligence analysis reveals several high-priority vulnerabilities and persistent threat actor activity targeting sectors critical to genomics, biotech, and manufacturing. The most urgent risks stem from vulnerabilities detected on multiple systems, including CVE-2023-33999, CVE-2021-39317, and CVE-2022-23975, each present on seven systems. These vulnerabilities, if exploited, could result in unauthorized access to research data, disruption of laboratory equipment, and compromise of healthcare systems. While none of the detected CVEs are currently flagged as actively exploited, their presence across multiple assets increases the risk of lateral movement and data exfiltration, especially in environments handling sensitive intellectual property and patient information. Several threat actors tracked by CrowdStrike, such as VICE SPIDER, TRAVELING SPIDER, and HOOK SPIDER, continue to target manufacturing, healthcare, and biotech sectors with criminal motivations. Their tactics include ransomware, extortion, and supply chain compromise, which align with recent OSINT reports of increased vishing attacks and persistent malware in critical infrastructure devices. The convergence of these vulnerabilities and threat actor activity underscores the need for immediate patching of high-exposure CVEs, enhanced monitoring for suspicious network activity, and strict supply chain security controls. Regulatory compliance risks (HIPAA, FDA) are heightened by vulnerabilities affecting systems that may store or process patient data, making timely remediation essential to avoid legal and reputational consequences.</w:t>
      </w:r>
    </w:p>
    <w:p>
      <w:pPr>
        <w:pStyle w:val="Heading1"/>
        <w:spacing w:before="120" w:after="0"/>
      </w:pPr>
      <w:r>
        <w:rPr>
          <w:rFonts w:ascii="Arial" w:hAnsi="Arial"/>
          <w:b/>
          <w:color w:val="FF5C41"/>
          <w:sz w:val="28"/>
        </w:rPr>
        <w:t xml:space="preserve">This Week </w:t>
      </w:r>
      <w:r>
        <w:rPr>
          <w:rFonts w:ascii="Arial" w:hAnsi="Arial"/>
          <w:b/>
          <w:color w:val="FF5C41"/>
          <w:sz w:val="28"/>
          <w:u w:val="none"/>
        </w:rPr>
        <w:t>at a Glance</w:t>
      </w:r>
    </w:p>
    <w:p>
      <w:pPr>
        <w:spacing w:before="200" w:after="80"/>
      </w:pPr>
      <w:r>
        <w:rPr>
          <w:rFonts w:ascii="Arial" w:hAnsi="Arial"/>
          <w:i/>
          <w:color w:val="B0B0B0"/>
          <w:sz w:val="18"/>
        </w:rPr>
        <w:t>Vulnerability and threat actor metrics from automated collection (April 18 to April 25, 2026).</w:t>
      </w:r>
    </w:p>
    <w:tbl>
      <w:tblPr>
        <w:tblW w:type="auto" w:w="0"/>
        <w:jc w:val="center"/>
        <w:tblLook w:firstColumn="1" w:firstRow="1" w:lastColumn="0" w:lastRow="0" w:noHBand="0" w:noVBand="1" w:val="04A0"/>
      </w:tblPr>
      <w:tblGrid>
        <w:gridCol w:w="3360"/>
        <w:gridCol w:w="3360"/>
        <w:gridCol w:w="3360"/>
      </w:tblGrid>
      <w:tr>
        <w:tc>
          <w:tcPr>
            <w:tcW w:type="dxa" w:w="3360"/>
            <w:shd w:fill="F5F5F5" w:val="clear" w:color="auto"/>
            <w:tcBorders>
              <w:top w:val="single" w:sz="4" w:space="0" w:color="CCCCCC"/>
              <w:bottom w:val="single" w:sz="4" w:space="0" w:color="CCCCCC"/>
              <w:left w:val="single" w:sz="4" w:space="0" w:color="CCCCCC"/>
              <w:right w:val="single" w:sz="4" w:space="0" w:color="CCCCCC"/>
            </w:tcBorders>
          </w:tcPr>
          <w:p>
            <w:pPr>
              <w:spacing w:after="40"/>
              <w:jc w:val="center"/>
            </w:pPr>
            <w:r>
              <w:rPr>
                <w:rFonts w:ascii="Arial" w:hAnsi="Arial"/>
                <w:b/>
                <w:color w:val="FF5C41"/>
                <w:sz w:val="44"/>
              </w:rPr>
              <w:t>36</w:t>
            </w:r>
          </w:p>
          <w:p>
            <w:pPr>
              <w:spacing w:before="0" w:after="40"/>
              <w:jc w:val="center"/>
            </w:pPr>
            <w:r>
              <w:rPr>
                <w:b/>
                <w:color w:val="000000"/>
                <w:sz w:val="20"/>
              </w:rPr>
              <w:t>New This Week</w:t>
            </w:r>
          </w:p>
          <w:p>
            <w:pPr>
              <w:spacing w:before="0" w:after="160"/>
              <w:jc w:val="center"/>
            </w:pPr>
            <w:r>
              <w:rPr>
                <w:rFonts w:ascii="Arial" w:hAnsi="Arial"/>
                <w:color w:val="666666"/>
                <w:sz w:val="16"/>
              </w:rPr>
              <w:t>First appearance in Rapid7 scans</w:t>
            </w:r>
          </w:p>
        </w:tc>
        <w:tc>
          <w:tcPr>
            <w:tcW w:type="dxa" w:w="3360"/>
            <w:shd w:fill="F5F5F5" w:val="clear" w:color="auto"/>
            <w:tcBorders>
              <w:top w:val="single" w:sz="4" w:space="0" w:color="CCCCCC"/>
              <w:bottom w:val="single" w:sz="4" w:space="0" w:color="CCCCCC"/>
              <w:left w:val="single" w:sz="4" w:space="0" w:color="CCCCCC"/>
              <w:right w:val="single" w:sz="4" w:space="0" w:color="CCCCCC"/>
            </w:tcBorders>
          </w:tcPr>
          <w:p>
            <w:pPr>
              <w:spacing w:after="40"/>
              <w:jc w:val="center"/>
            </w:pPr>
            <w:r>
              <w:rPr>
                <w:rFonts w:ascii="Arial" w:hAnsi="Arial"/>
                <w:b/>
                <w:color w:val="FF5C41"/>
                <w:sz w:val="44"/>
              </w:rPr>
              <w:t>0</w:t>
            </w:r>
          </w:p>
          <w:p>
            <w:pPr>
              <w:spacing w:before="0" w:after="40"/>
              <w:jc w:val="center"/>
            </w:pPr>
            <w:r>
              <w:rPr>
                <w:b/>
                <w:color w:val="000000"/>
                <w:sz w:val="20"/>
              </w:rPr>
              <w:t>Persistent (3+ Wks)</w:t>
            </w:r>
          </w:p>
          <w:p>
            <w:pPr>
              <w:spacing w:before="0" w:after="160"/>
              <w:jc w:val="center"/>
            </w:pPr>
            <w:r>
              <w:rPr>
                <w:rFonts w:ascii="Arial" w:hAnsi="Arial"/>
                <w:color w:val="666666"/>
                <w:sz w:val="16"/>
              </w:rPr>
              <w:t>Unresolved from prior reports</w:t>
            </w:r>
          </w:p>
        </w:tc>
        <w:tc>
          <w:tcPr>
            <w:tcW w:type="dxa" w:w="3360"/>
            <w:shd w:fill="F5F5F5" w:val="clear" w:color="auto"/>
            <w:tcBorders>
              <w:top w:val="single" w:sz="4" w:space="0" w:color="CCCCCC"/>
              <w:bottom w:val="single" w:sz="4" w:space="0" w:color="CCCCCC"/>
              <w:left w:val="single" w:sz="4" w:space="0" w:color="CCCCCC"/>
              <w:right w:val="single" w:sz="4" w:space="0" w:color="CCCCCC"/>
            </w:tcBorders>
          </w:tcPr>
          <w:p>
            <w:pPr>
              <w:spacing w:after="40"/>
              <w:jc w:val="center"/>
            </w:pPr>
            <w:r>
              <w:rPr>
                <w:rFonts w:ascii="Arial" w:hAnsi="Arial"/>
                <w:b/>
                <w:color w:val="2ECC71"/>
                <w:sz w:val="44"/>
              </w:rPr>
              <w:t>0</w:t>
            </w:r>
          </w:p>
          <w:p>
            <w:pPr>
              <w:spacing w:before="0" w:after="40"/>
              <w:jc w:val="center"/>
            </w:pPr>
            <w:r>
              <w:rPr>
                <w:b/>
                <w:color w:val="000000"/>
                <w:sz w:val="20"/>
              </w:rPr>
              <w:t>Resolved</w:t>
            </w:r>
          </w:p>
          <w:p>
            <w:pPr>
              <w:spacing w:before="0" w:after="160"/>
              <w:jc w:val="center"/>
            </w:pPr>
            <w:r>
              <w:rPr>
                <w:rFonts w:ascii="Arial" w:hAnsi="Arial"/>
                <w:color w:val="666666"/>
                <w:sz w:val="16"/>
              </w:rPr>
              <w:t>Remediated since last week</w:t>
            </w:r>
          </w:p>
        </w:tc>
      </w:tr>
    </w:tbl>
    <w:p>
      <w:pPr>
        <w:spacing w:before="0" w:after="400"/>
      </w:pPr>
    </w:p>
    <w:tbl>
      <w:tblPr>
        <w:tblW w:type="auto" w:w="0"/>
        <w:jc w:val="center"/>
        <w:tblLook w:firstColumn="1" w:firstRow="1" w:lastColumn="0" w:lastRow="0" w:noHBand="0" w:noVBand="1" w:val="04A0"/>
      </w:tblPr>
      <w:tblGrid>
        <w:gridCol w:w="3360"/>
        <w:gridCol w:w="3360"/>
        <w:gridCol w:w="3360"/>
      </w:tblGrid>
      <w:tr>
        <w:tc>
          <w:tcPr>
            <w:tcW w:type="dxa" w:w="3360"/>
            <w:shd w:fill="F5F5F5" w:val="clear" w:color="auto"/>
            <w:tcBorders>
              <w:top w:val="single" w:sz="4" w:space="0" w:color="CCCCCC"/>
              <w:bottom w:val="single" w:sz="4" w:space="0" w:color="CCCCCC"/>
              <w:left w:val="single" w:sz="4" w:space="0" w:color="CCCCCC"/>
              <w:right w:val="single" w:sz="4" w:space="0" w:color="CCCCCC"/>
            </w:tcBorders>
          </w:tcPr>
          <w:p>
            <w:pPr>
              <w:spacing w:after="40"/>
              <w:jc w:val="center"/>
            </w:pPr>
            <w:r>
              <w:rPr>
                <w:rFonts w:ascii="Arial" w:hAnsi="Arial"/>
                <w:b/>
                <w:color w:val="FF3B3B"/>
                <w:sz w:val="44"/>
              </w:rPr>
              <w:t>36</w:t>
            </w:r>
          </w:p>
          <w:p>
            <w:pPr>
              <w:spacing w:before="0" w:after="40"/>
              <w:jc w:val="center"/>
            </w:pPr>
            <w:r>
              <w:rPr>
                <w:b/>
                <w:color w:val="000000"/>
                <w:sz w:val="20"/>
              </w:rPr>
              <w:t>Total Exposed</w:t>
            </w:r>
          </w:p>
          <w:p>
            <w:pPr>
              <w:spacing w:before="0" w:after="160"/>
              <w:jc w:val="center"/>
            </w:pPr>
            <w:r>
              <w:rPr>
                <w:rFonts w:ascii="Arial" w:hAnsi="Arial"/>
                <w:color w:val="666666"/>
                <w:sz w:val="16"/>
              </w:rPr>
              <w:t>CVEs on assets</w:t>
            </w:r>
          </w:p>
        </w:tc>
        <w:tc>
          <w:tcPr>
            <w:tcW w:type="dxa" w:w="3360"/>
            <w:shd w:fill="F5F5F5" w:val="clear" w:color="auto"/>
            <w:tcBorders>
              <w:top w:val="single" w:sz="4" w:space="0" w:color="CCCCCC"/>
              <w:bottom w:val="single" w:sz="4" w:space="0" w:color="CCCCCC"/>
              <w:left w:val="single" w:sz="4" w:space="0" w:color="CCCCCC"/>
              <w:right w:val="single" w:sz="4" w:space="0" w:color="CCCCCC"/>
            </w:tcBorders>
          </w:tcPr>
          <w:p>
            <w:pPr>
              <w:spacing w:after="40"/>
              <w:jc w:val="center"/>
            </w:pPr>
            <w:r>
              <w:rPr>
                <w:rFonts w:ascii="Arial" w:hAnsi="Arial"/>
                <w:b/>
                <w:color w:val="FF3B3B"/>
                <w:sz w:val="44"/>
              </w:rPr>
              <w:t>0</w:t>
            </w:r>
          </w:p>
          <w:p>
            <w:pPr>
              <w:spacing w:before="0" w:after="40"/>
              <w:jc w:val="center"/>
            </w:pPr>
            <w:r>
              <w:rPr>
                <w:b/>
                <w:color w:val="000000"/>
                <w:sz w:val="20"/>
              </w:rPr>
              <w:t>Actively Exploited</w:t>
            </w:r>
          </w:p>
          <w:p>
            <w:pPr>
              <w:spacing w:before="0" w:after="160"/>
              <w:jc w:val="center"/>
            </w:pPr>
            <w:r>
              <w:rPr>
                <w:rFonts w:ascii="Arial" w:hAnsi="Arial"/>
                <w:color w:val="666666"/>
                <w:sz w:val="16"/>
              </w:rPr>
              <w:t>Confirmed threat actor use</w:t>
            </w:r>
          </w:p>
        </w:tc>
        <w:tc>
          <w:tcPr>
            <w:tcW w:type="dxa" w:w="3360"/>
            <w:shd w:fill="F5F5F5" w:val="clear" w:color="auto"/>
            <w:tcBorders>
              <w:top w:val="single" w:sz="4" w:space="0" w:color="CCCCCC"/>
              <w:bottom w:val="single" w:sz="4" w:space="0" w:color="CCCCCC"/>
              <w:left w:val="single" w:sz="4" w:space="0" w:color="CCCCCC"/>
              <w:right w:val="single" w:sz="4" w:space="0" w:color="CCCCCC"/>
            </w:tcBorders>
          </w:tcPr>
          <w:p>
            <w:pPr>
              <w:spacing w:after="40"/>
              <w:jc w:val="center"/>
            </w:pPr>
            <w:r>
              <w:rPr>
                <w:rFonts w:ascii="Arial" w:hAnsi="Arial"/>
                <w:b/>
                <w:color w:val="FF3B3B"/>
                <w:sz w:val="44"/>
              </w:rPr>
              <w:t>3</w:t>
            </w:r>
          </w:p>
          <w:p>
            <w:pPr>
              <w:spacing w:before="0" w:after="40"/>
              <w:jc w:val="center"/>
            </w:pPr>
            <w:r>
              <w:rPr>
                <w:b/>
                <w:color w:val="000000"/>
                <w:sz w:val="20"/>
              </w:rPr>
              <w:t>Actor Groups</w:t>
            </w:r>
          </w:p>
          <w:p>
            <w:pPr>
              <w:spacing w:before="0" w:after="160"/>
              <w:jc w:val="center"/>
            </w:pPr>
            <w:r>
              <w:rPr>
                <w:rFonts w:ascii="Arial" w:hAnsi="Arial"/>
                <w:color w:val="666666"/>
                <w:sz w:val="16"/>
              </w:rPr>
              <w:t>Targeting biotech sector</w:t>
            </w:r>
          </w:p>
        </w:tc>
      </w:tr>
    </w:tbl>
    <w:p>
      <w:pPr>
        <w:spacing w:before="0" w:after="120"/>
      </w:pPr>
    </w:p>
    <w:p>
      <w:pPr>
        <w:pStyle w:val="Heading1"/>
      </w:pPr>
      <w:r>
        <w:rPr>
          <w:rFonts w:ascii="Arial" w:hAnsi="Arial"/>
          <w:color w:val="FF5C41"/>
          <w:sz w:val="28"/>
        </w:rPr>
        <w:t>Vulnerability Exposure</w:t>
      </w:r>
    </w:p>
    <w:tbl>
      <w:tblPr>
        <w:tblW w:type="auto" w:w="0"/>
        <w:tblLook w:firstColumn="1" w:firstRow="1" w:lastColumn="0" w:lastRow="0" w:noHBand="0" w:noVBand="1" w:val="04A0"/>
      </w:tblPr>
      <w:tblGrid>
        <w:gridCol w:w="1680"/>
        <w:gridCol w:w="1680"/>
        <w:gridCol w:w="1680"/>
        <w:gridCol w:w="1680"/>
        <w:gridCol w:w="1680"/>
        <w:gridCol w:w="1680"/>
      </w:tblGrid>
      <w:tr>
        <w:tc>
          <w:tcPr>
            <w:tcW w:type="dxa" w:w="1680"/>
            <w:shd w:fill="E65100" w:val="clear" w:color="auto"/>
            <w:tcBorders>
              <w:top w:val="single" w:sz="4" w:space="0" w:color="CCCCCC"/>
              <w:bottom w:val="single" w:sz="4" w:space="0" w:color="CCCCCC"/>
              <w:left w:val="single" w:sz="4" w:space="0" w:color="CCCCCC"/>
              <w:right w:val="single" w:sz="4" w:space="0" w:color="CCCCCC"/>
            </w:tcBorders>
            <w:tcMar>
              <w:top w:w="40" w:type="dxa"/>
              <w:start w:w="40" w:type="dxa"/>
              <w:bottom w:w="40" w:type="dxa"/>
              <w:end w:w="40" w:type="dxa"/>
            </w:tcMar>
          </w:tcPr>
          <w:p>
            <w:pPr>
              <w:jc w:val="center"/>
            </w:pPr>
            <w:r>
              <w:rPr>
                <w:b/>
                <w:color w:val="FFFFFF"/>
                <w:sz w:val="16"/>
              </w:rPr>
              <w:t>CVE ID</w:t>
            </w:r>
          </w:p>
        </w:tc>
        <w:tc>
          <w:tcPr>
            <w:tcW w:type="dxa" w:w="1680"/>
            <w:shd w:fill="E65100" w:val="clear" w:color="auto"/>
            <w:tcBorders>
              <w:top w:val="single" w:sz="4" w:space="0" w:color="CCCCCC"/>
              <w:bottom w:val="single" w:sz="4" w:space="0" w:color="CCCCCC"/>
              <w:left w:val="single" w:sz="4" w:space="0" w:color="CCCCCC"/>
              <w:right w:val="single" w:sz="4" w:space="0" w:color="CCCCCC"/>
            </w:tcBorders>
            <w:tcMar>
              <w:top w:w="40" w:type="dxa"/>
              <w:start w:w="40" w:type="dxa"/>
              <w:bottom w:w="40" w:type="dxa"/>
              <w:end w:w="40" w:type="dxa"/>
            </w:tcMar>
          </w:tcPr>
          <w:p>
            <w:pPr>
              <w:jc w:val="center"/>
            </w:pPr>
            <w:r>
              <w:rPr>
                <w:b/>
                <w:color w:val="FFFFFF"/>
                <w:sz w:val="16"/>
              </w:rPr>
              <w:t>Affected Product</w:t>
            </w:r>
          </w:p>
        </w:tc>
        <w:tc>
          <w:tcPr>
            <w:tcW w:type="dxa" w:w="1680"/>
            <w:shd w:fill="E65100" w:val="clear" w:color="auto"/>
            <w:tcBorders>
              <w:top w:val="single" w:sz="4" w:space="0" w:color="CCCCCC"/>
              <w:bottom w:val="single" w:sz="4" w:space="0" w:color="CCCCCC"/>
              <w:left w:val="single" w:sz="4" w:space="0" w:color="CCCCCC"/>
              <w:right w:val="single" w:sz="4" w:space="0" w:color="CCCCCC"/>
            </w:tcBorders>
            <w:tcMar>
              <w:top w:w="40" w:type="dxa"/>
              <w:start w:w="40" w:type="dxa"/>
              <w:bottom w:w="40" w:type="dxa"/>
              <w:end w:w="40" w:type="dxa"/>
            </w:tcMar>
          </w:tcPr>
          <w:p>
            <w:pPr>
              <w:jc w:val="center"/>
            </w:pPr>
            <w:r>
              <w:rPr>
                <w:b/>
                <w:color w:val="FFFFFF"/>
                <w:sz w:val="16"/>
              </w:rPr>
              <w:t>Exposure</w:t>
            </w:r>
          </w:p>
        </w:tc>
        <w:tc>
          <w:tcPr>
            <w:tcW w:type="dxa" w:w="1680"/>
            <w:shd w:fill="E65100" w:val="clear" w:color="auto"/>
            <w:tcBorders>
              <w:top w:val="single" w:sz="4" w:space="0" w:color="CCCCCC"/>
              <w:bottom w:val="single" w:sz="4" w:space="0" w:color="CCCCCC"/>
              <w:left w:val="single" w:sz="4" w:space="0" w:color="CCCCCC"/>
              <w:right w:val="single" w:sz="4" w:space="0" w:color="CCCCCC"/>
            </w:tcBorders>
            <w:tcMar>
              <w:top w:w="40" w:type="dxa"/>
              <w:start w:w="40" w:type="dxa"/>
              <w:bottom w:w="40" w:type="dxa"/>
              <w:end w:w="40" w:type="dxa"/>
            </w:tcMar>
          </w:tcPr>
          <w:p>
            <w:pPr>
              <w:jc w:val="center"/>
            </w:pPr>
            <w:r>
              <w:rPr>
                <w:b/>
                <w:color w:val="FFFFFF"/>
                <w:sz w:val="16"/>
              </w:rPr>
              <w:t>Exploited By</w:t>
            </w:r>
          </w:p>
        </w:tc>
        <w:tc>
          <w:tcPr>
            <w:tcW w:type="dxa" w:w="1680"/>
            <w:shd w:fill="E65100" w:val="clear" w:color="auto"/>
            <w:tcBorders>
              <w:top w:val="single" w:sz="4" w:space="0" w:color="CCCCCC"/>
              <w:bottom w:val="single" w:sz="4" w:space="0" w:color="CCCCCC"/>
              <w:left w:val="single" w:sz="4" w:space="0" w:color="CCCCCC"/>
              <w:right w:val="single" w:sz="4" w:space="0" w:color="CCCCCC"/>
            </w:tcBorders>
            <w:tcMar>
              <w:top w:w="40" w:type="dxa"/>
              <w:start w:w="40" w:type="dxa"/>
              <w:bottom w:w="40" w:type="dxa"/>
              <w:end w:w="40" w:type="dxa"/>
            </w:tcMar>
          </w:tcPr>
          <w:p>
            <w:pPr>
              <w:jc w:val="center"/>
            </w:pPr>
            <w:r>
              <w:rPr>
                <w:b/>
                <w:color w:val="FFFFFF"/>
                <w:sz w:val="16"/>
              </w:rPr>
              <w:t>Priority</w:t>
            </w:r>
          </w:p>
        </w:tc>
        <w:tc>
          <w:tcPr>
            <w:tcW w:type="dxa" w:w="1680"/>
            <w:shd w:fill="E65100" w:val="clear" w:color="auto"/>
            <w:tcBorders>
              <w:top w:val="single" w:sz="4" w:space="0" w:color="CCCCCC"/>
              <w:bottom w:val="single" w:sz="4" w:space="0" w:color="CCCCCC"/>
              <w:left w:val="single" w:sz="4" w:space="0" w:color="CCCCCC"/>
              <w:right w:val="single" w:sz="4" w:space="0" w:color="CCCCCC"/>
            </w:tcBorders>
            <w:tcMar>
              <w:top w:w="40" w:type="dxa"/>
              <w:start w:w="40" w:type="dxa"/>
              <w:bottom w:w="40" w:type="dxa"/>
              <w:end w:w="40" w:type="dxa"/>
            </w:tcMar>
          </w:tcPr>
          <w:p>
            <w:pPr>
              <w:jc w:val="center"/>
            </w:pPr>
            <w:r>
              <w:rPr>
                <w:b/>
                <w:color w:val="FFFFFF"/>
                <w:sz w:val="16"/>
              </w:rPr>
              <w:t>Wks</w:t>
            </w:r>
          </w:p>
        </w:tc>
      </w:tr>
      <w:tr>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CVE-2023-33999</w:t>
            </w:r>
          </w:p>
        </w:tc>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WordPress Plugin: 2mb-autocode</w:t>
            </w:r>
          </w:p>
        </w:tc>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7 systems</w:t>
            </w:r>
          </w:p>
        </w:tc>
        <w:tc>
          <w:tcPr>
            <w:tcW w:type="dxa" w:w="1680"/>
            <w:shd w:fill="E8F5E9" w:val="clear" w:color="auto"/>
            <w:tcBorders>
              <w:top w:val="single" w:sz="4" w:space="0" w:color="CCCCCC"/>
              <w:bottom w:val="single" w:sz="4" w:space="0" w:color="CCCCCC"/>
              <w:left w:val="single" w:sz="4" w:space="0" w:color="CCCCCC"/>
              <w:right w:val="single" w:sz="4" w:space="0" w:color="CCCCCC"/>
            </w:tcBorders>
          </w:tcPr>
          <w:p>
            <w:r>
              <w:rPr>
                <w:color w:val="333333"/>
                <w:sz w:val="18"/>
              </w:rPr>
              <w:t>None known</w:t>
            </w:r>
          </w:p>
        </w:tc>
        <w:tc>
          <w:tcPr>
            <w:tcW w:type="dxa" w:w="1680"/>
            <w:shd w:fill="FFF3E0" w:val="clear" w:color="auto"/>
            <w:tcBorders>
              <w:top w:val="single" w:sz="4" w:space="0" w:color="CCCCCC"/>
              <w:bottom w:val="single" w:sz="4" w:space="0" w:color="CCCCCC"/>
              <w:left w:val="single" w:sz="4" w:space="0" w:color="CCCCCC"/>
              <w:right w:val="single" w:sz="4" w:space="0" w:color="CCCCCC"/>
            </w:tcBorders>
          </w:tcPr>
          <w:p>
            <w:pPr>
              <w:jc w:val="center"/>
            </w:pPr>
            <w:r>
              <w:rPr>
                <w:b/>
                <w:color w:val="333333"/>
                <w:sz w:val="18"/>
              </w:rPr>
              <w:t>P2</w:t>
            </w:r>
          </w:p>
        </w:tc>
        <w:tc>
          <w:tcPr>
            <w:tcW w:type="dxa" w:w="1680"/>
            <w:shd w:fill="FFEBEE" w:val="clear" w:color="auto"/>
            <w:tcBorders>
              <w:top w:val="single" w:sz="4" w:space="0" w:color="CCCCCC"/>
              <w:bottom w:val="single" w:sz="4" w:space="0" w:color="CCCCCC"/>
              <w:left w:val="single" w:sz="4" w:space="0" w:color="CCCCCC"/>
              <w:right w:val="single" w:sz="4" w:space="0" w:color="CCCCCC"/>
            </w:tcBorders>
          </w:tcPr>
          <w:p>
            <w:pPr>
              <w:jc w:val="center"/>
            </w:pPr>
            <w:r>
              <w:rPr>
                <w:color w:val="333333"/>
                <w:sz w:val="18"/>
              </w:rPr>
              <w:t>49</w:t>
            </w:r>
          </w:p>
        </w:tc>
      </w:tr>
      <w:tr>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CVE-2021-39317</w:t>
            </w:r>
          </w:p>
        </w:tc>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WordPress Plugin: access-demo-importer</w:t>
            </w:r>
          </w:p>
        </w:tc>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7 systems</w:t>
            </w:r>
          </w:p>
        </w:tc>
        <w:tc>
          <w:tcPr>
            <w:tcW w:type="dxa" w:w="1680"/>
            <w:shd w:fill="E8F5E9" w:val="clear" w:color="auto"/>
            <w:tcBorders>
              <w:top w:val="single" w:sz="4" w:space="0" w:color="CCCCCC"/>
              <w:bottom w:val="single" w:sz="4" w:space="0" w:color="CCCCCC"/>
              <w:left w:val="single" w:sz="4" w:space="0" w:color="CCCCCC"/>
              <w:right w:val="single" w:sz="4" w:space="0" w:color="CCCCCC"/>
            </w:tcBorders>
          </w:tcPr>
          <w:p>
            <w:r>
              <w:rPr>
                <w:color w:val="333333"/>
                <w:sz w:val="18"/>
              </w:rPr>
              <w:t>None known</w:t>
            </w:r>
          </w:p>
        </w:tc>
        <w:tc>
          <w:tcPr>
            <w:tcW w:type="dxa" w:w="1680"/>
            <w:shd w:fill="FFF3E0" w:val="clear" w:color="auto"/>
            <w:tcBorders>
              <w:top w:val="single" w:sz="4" w:space="0" w:color="CCCCCC"/>
              <w:bottom w:val="single" w:sz="4" w:space="0" w:color="CCCCCC"/>
              <w:left w:val="single" w:sz="4" w:space="0" w:color="CCCCCC"/>
              <w:right w:val="single" w:sz="4" w:space="0" w:color="CCCCCC"/>
            </w:tcBorders>
          </w:tcPr>
          <w:p>
            <w:pPr>
              <w:jc w:val="center"/>
            </w:pPr>
            <w:r>
              <w:rPr>
                <w:b/>
                <w:color w:val="333333"/>
                <w:sz w:val="18"/>
              </w:rPr>
              <w:t>P2</w:t>
            </w:r>
          </w:p>
        </w:tc>
        <w:tc>
          <w:tcPr>
            <w:tcW w:type="dxa" w:w="1680"/>
            <w:shd w:fill="FFEBEE" w:val="clear" w:color="auto"/>
            <w:tcBorders>
              <w:top w:val="single" w:sz="4" w:space="0" w:color="CCCCCC"/>
              <w:bottom w:val="single" w:sz="4" w:space="0" w:color="CCCCCC"/>
              <w:left w:val="single" w:sz="4" w:space="0" w:color="CCCCCC"/>
              <w:right w:val="single" w:sz="4" w:space="0" w:color="CCCCCC"/>
            </w:tcBorders>
          </w:tcPr>
          <w:p>
            <w:pPr>
              <w:jc w:val="center"/>
            </w:pPr>
            <w:r>
              <w:rPr>
                <w:color w:val="333333"/>
                <w:sz w:val="18"/>
              </w:rPr>
              <w:t>49</w:t>
            </w:r>
          </w:p>
        </w:tc>
      </w:tr>
      <w:tr>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CVE-2022-23975</w:t>
            </w:r>
          </w:p>
        </w:tc>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WordPress Plugin: access-demo-importer</w:t>
            </w:r>
          </w:p>
        </w:tc>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7 systems</w:t>
            </w:r>
          </w:p>
        </w:tc>
        <w:tc>
          <w:tcPr>
            <w:tcW w:type="dxa" w:w="1680"/>
            <w:shd w:fill="E8F5E9" w:val="clear" w:color="auto"/>
            <w:tcBorders>
              <w:top w:val="single" w:sz="4" w:space="0" w:color="CCCCCC"/>
              <w:bottom w:val="single" w:sz="4" w:space="0" w:color="CCCCCC"/>
              <w:left w:val="single" w:sz="4" w:space="0" w:color="CCCCCC"/>
              <w:right w:val="single" w:sz="4" w:space="0" w:color="CCCCCC"/>
            </w:tcBorders>
          </w:tcPr>
          <w:p>
            <w:r>
              <w:rPr>
                <w:color w:val="333333"/>
                <w:sz w:val="18"/>
              </w:rPr>
              <w:t>None known</w:t>
            </w:r>
          </w:p>
        </w:tc>
        <w:tc>
          <w:tcPr>
            <w:tcW w:type="dxa" w:w="1680"/>
            <w:shd w:fill="FFF3E0" w:val="clear" w:color="auto"/>
            <w:tcBorders>
              <w:top w:val="single" w:sz="4" w:space="0" w:color="CCCCCC"/>
              <w:bottom w:val="single" w:sz="4" w:space="0" w:color="CCCCCC"/>
              <w:left w:val="single" w:sz="4" w:space="0" w:color="CCCCCC"/>
              <w:right w:val="single" w:sz="4" w:space="0" w:color="CCCCCC"/>
            </w:tcBorders>
          </w:tcPr>
          <w:p>
            <w:pPr>
              <w:jc w:val="center"/>
            </w:pPr>
            <w:r>
              <w:rPr>
                <w:b/>
                <w:color w:val="333333"/>
                <w:sz w:val="18"/>
              </w:rPr>
              <w:t>P2</w:t>
            </w:r>
          </w:p>
        </w:tc>
        <w:tc>
          <w:tcPr>
            <w:tcW w:type="dxa" w:w="1680"/>
            <w:shd w:fill="FFEBEE" w:val="clear" w:color="auto"/>
            <w:tcBorders>
              <w:top w:val="single" w:sz="4" w:space="0" w:color="CCCCCC"/>
              <w:bottom w:val="single" w:sz="4" w:space="0" w:color="CCCCCC"/>
              <w:left w:val="single" w:sz="4" w:space="0" w:color="CCCCCC"/>
              <w:right w:val="single" w:sz="4" w:space="0" w:color="CCCCCC"/>
            </w:tcBorders>
          </w:tcPr>
          <w:p>
            <w:pPr>
              <w:jc w:val="center"/>
            </w:pPr>
            <w:r>
              <w:rPr>
                <w:color w:val="333333"/>
                <w:sz w:val="18"/>
              </w:rPr>
              <w:t>49</w:t>
            </w:r>
          </w:p>
        </w:tc>
      </w:tr>
      <w:tr>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CVE-2022-4974</w:t>
            </w:r>
          </w:p>
        </w:tc>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WordPress Plugin: 3d-viewer</w:t>
            </w:r>
          </w:p>
        </w:tc>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6 systems</w:t>
            </w:r>
          </w:p>
        </w:tc>
        <w:tc>
          <w:tcPr>
            <w:tcW w:type="dxa" w:w="1680"/>
            <w:shd w:fill="E8F5E9" w:val="clear" w:color="auto"/>
            <w:tcBorders>
              <w:top w:val="single" w:sz="4" w:space="0" w:color="CCCCCC"/>
              <w:bottom w:val="single" w:sz="4" w:space="0" w:color="CCCCCC"/>
              <w:left w:val="single" w:sz="4" w:space="0" w:color="CCCCCC"/>
              <w:right w:val="single" w:sz="4" w:space="0" w:color="CCCCCC"/>
            </w:tcBorders>
          </w:tcPr>
          <w:p>
            <w:r>
              <w:rPr>
                <w:color w:val="333333"/>
                <w:sz w:val="18"/>
              </w:rPr>
              <w:t>None known</w:t>
            </w:r>
          </w:p>
        </w:tc>
        <w:tc>
          <w:tcPr>
            <w:tcW w:type="dxa" w:w="1680"/>
            <w:shd w:fill="FFF3E0" w:val="clear" w:color="auto"/>
            <w:tcBorders>
              <w:top w:val="single" w:sz="4" w:space="0" w:color="CCCCCC"/>
              <w:bottom w:val="single" w:sz="4" w:space="0" w:color="CCCCCC"/>
              <w:left w:val="single" w:sz="4" w:space="0" w:color="CCCCCC"/>
              <w:right w:val="single" w:sz="4" w:space="0" w:color="CCCCCC"/>
            </w:tcBorders>
          </w:tcPr>
          <w:p>
            <w:pPr>
              <w:jc w:val="center"/>
            </w:pPr>
            <w:r>
              <w:rPr>
                <w:b/>
                <w:color w:val="333333"/>
                <w:sz w:val="18"/>
              </w:rPr>
              <w:t>P2</w:t>
            </w:r>
          </w:p>
        </w:tc>
        <w:tc>
          <w:tcPr>
            <w:tcW w:type="dxa" w:w="1680"/>
            <w:shd w:fill="FFEBEE" w:val="clear" w:color="auto"/>
            <w:tcBorders>
              <w:top w:val="single" w:sz="4" w:space="0" w:color="CCCCCC"/>
              <w:bottom w:val="single" w:sz="4" w:space="0" w:color="CCCCCC"/>
              <w:left w:val="single" w:sz="4" w:space="0" w:color="CCCCCC"/>
              <w:right w:val="single" w:sz="4" w:space="0" w:color="CCCCCC"/>
            </w:tcBorders>
          </w:tcPr>
          <w:p>
            <w:pPr>
              <w:jc w:val="center"/>
            </w:pPr>
            <w:r>
              <w:rPr>
                <w:color w:val="333333"/>
                <w:sz w:val="18"/>
              </w:rPr>
              <w:t>49</w:t>
            </w:r>
          </w:p>
        </w:tc>
      </w:tr>
    </w:tbl>
    <w:p>
      <w:pPr>
        <w:jc w:val="left"/>
      </w:pPr>
      <w:r>
        <w:rPr>
          <w:rFonts w:ascii="Arial" w:hAnsi="Arial"/>
          <w:i/>
          <w:color w:val="666666"/>
          <w:sz w:val="14"/>
        </w:rPr>
        <w:t>Priority: P1 = Address immediately (24-48 hours) • P2 = Patch within 7-14 days • P3 = Schedule within 30 days   |   Wks = consecutive weeks detected. Items at 3+ weeks (yellow) are persistent and require escalation. Items at 4+ weeks (red) are long overdue. Source: Rapid7 InsightVM scans.</w:t>
      </w:r>
    </w:p>
    <w:p/>
    <w:p>
      <w:pPr>
        <w:pStyle w:val="Heading1"/>
      </w:pPr>
      <w:r>
        <w:rPr>
          <w:rFonts w:ascii="Arial" w:hAnsi="Arial"/>
          <w:color w:val="FF5C41"/>
          <w:sz w:val="28"/>
        </w:rPr>
        <w:t>Sector Threat Activity</w:t>
      </w:r>
    </w:p>
    <w:p>
      <w:r>
        <w:rPr>
          <w:i/>
          <w:color w:val="666666"/>
          <w:sz w:val="20"/>
        </w:rPr>
        <w:t>The following threat actors have been observed targeting organizations in the biotech, pharmaceutical, healthcare, manufacturing, and related sectors this week.</w:t>
      </w:r>
    </w:p>
    <w:p/>
    <w:tbl>
      <w:tblPr>
        <w:tblW w:type="auto" w:w="0"/>
        <w:tblLook w:firstColumn="1" w:firstRow="1" w:lastColumn="0" w:lastRow="0" w:noHBand="0" w:noVBand="1" w:val="04A0"/>
      </w:tblPr>
      <w:tblGrid>
        <w:gridCol w:w="3360"/>
        <w:gridCol w:w="3360"/>
        <w:gridCol w:w="3360"/>
      </w:tblGrid>
      <w:tr>
        <w:tc>
          <w:tcPr>
            <w:tcW w:type="dxa" w:w="3360"/>
            <w:shd w:fill="E65100" w:val="clear" w:color="auto"/>
            <w:tcBorders>
              <w:top w:val="single" w:sz="4" w:space="0" w:color="CCCCCC"/>
              <w:bottom w:val="single" w:sz="4" w:space="0" w:color="CCCCCC"/>
              <w:left w:val="single" w:sz="4" w:space="0" w:color="CCCCCC"/>
              <w:right w:val="single" w:sz="4" w:space="0" w:color="CCCCCC"/>
            </w:tcBorders>
          </w:tcPr>
          <w:p>
            <w:r>
              <w:rPr>
                <w:b/>
                <w:color w:val="FFFFFF"/>
                <w:sz w:val="18"/>
              </w:rPr>
              <w:t>Origin / Motivation</w:t>
            </w:r>
          </w:p>
        </w:tc>
        <w:tc>
          <w:tcPr>
            <w:tcW w:type="dxa" w:w="3360"/>
            <w:shd w:fill="E65100" w:val="clear" w:color="auto"/>
            <w:tcBorders>
              <w:top w:val="single" w:sz="4" w:space="0" w:color="CCCCCC"/>
              <w:bottom w:val="single" w:sz="4" w:space="0" w:color="CCCCCC"/>
              <w:left w:val="single" w:sz="4" w:space="0" w:color="CCCCCC"/>
              <w:right w:val="single" w:sz="4" w:space="0" w:color="CCCCCC"/>
            </w:tcBorders>
          </w:tcPr>
          <w:p>
            <w:r>
              <w:rPr>
                <w:b/>
                <w:color w:val="FFFFFF"/>
                <w:sz w:val="18"/>
              </w:rPr>
              <w:t>Activity Observed</w:t>
            </w:r>
          </w:p>
        </w:tc>
        <w:tc>
          <w:tcPr>
            <w:tcW w:type="dxa" w:w="3360"/>
            <w:shd w:fill="E65100" w:val="clear" w:color="auto"/>
            <w:tcBorders>
              <w:top w:val="single" w:sz="4" w:space="0" w:color="CCCCCC"/>
              <w:bottom w:val="single" w:sz="4" w:space="0" w:color="CCCCCC"/>
              <w:left w:val="single" w:sz="4" w:space="0" w:color="CCCCCC"/>
              <w:right w:val="single" w:sz="4" w:space="0" w:color="CCCCCC"/>
            </w:tcBorders>
          </w:tcPr>
          <w:p>
            <w:r>
              <w:rPr>
                <w:b/>
                <w:color w:val="FFFFFF"/>
                <w:sz w:val="18"/>
              </w:rPr>
              <w:t>What to Monitor</w:t>
            </w:r>
          </w:p>
        </w:tc>
      </w:tr>
      <w:tr>
        <w:tc>
          <w:tcPr>
            <w:tcW w:type="dxa" w:w="3360"/>
            <w:shd w:fill="F5F5F5" w:val="clear" w:color="auto"/>
            <w:tcBorders>
              <w:top w:val="single" w:sz="4" w:space="0" w:color="CCCCCC"/>
              <w:bottom w:val="single" w:sz="4" w:space="0" w:color="CCCCCC"/>
              <w:left w:val="single" w:sz="4" w:space="0" w:color="CCCCCC"/>
              <w:right w:val="single" w:sz="4" w:space="0" w:color="CCCCCC"/>
            </w:tcBorders>
          </w:tcPr>
          <w:p>
            <w:r>
              <w:rPr>
                <w:color w:val="333333"/>
                <w:sz w:val="18"/>
              </w:rPr>
              <w:t>Unknown</w:t>
              <w:br/>
              <w:t>Criminal</w:t>
            </w:r>
          </w:p>
        </w:tc>
        <w:tc>
          <w:tcPr>
            <w:tcW w:type="dxa" w:w="3360"/>
            <w:tcBorders>
              <w:top w:val="single" w:sz="4" w:space="0" w:color="CCCCCC"/>
              <w:bottom w:val="single" w:sz="4" w:space="0" w:color="CCCCCC"/>
              <w:left w:val="single" w:sz="4" w:space="0" w:color="CCCCCC"/>
              <w:right w:val="single" w:sz="4" w:space="0" w:color="CCCCCC"/>
            </w:tcBorders>
          </w:tcPr>
          <w:p>
            <w:r>
              <w:rPr>
                <w:color w:val="333333"/>
                <w:sz w:val="18"/>
              </w:rPr>
              <w:t>VICE SPIDER</w:t>
            </w:r>
          </w:p>
        </w:tc>
        <w:tc>
          <w:tcPr>
            <w:tcW w:type="dxa" w:w="3360"/>
            <w:shd w:fill="E3F2FD" w:val="clear" w:color="auto"/>
            <w:tcBorders>
              <w:top w:val="single" w:sz="4" w:space="0" w:color="CCCCCC"/>
              <w:bottom w:val="single" w:sz="4" w:space="0" w:color="CCCCCC"/>
              <w:left w:val="single" w:sz="4" w:space="0" w:color="CCCCCC"/>
              <w:right w:val="single" w:sz="4" w:space="0" w:color="CCCCCC"/>
            </w:tcBorders>
          </w:tcPr>
          <w:p>
            <w:r>
              <w:rPr>
                <w:color w:val="333333"/>
                <w:sz w:val="18"/>
              </w:rPr>
              <w:t>Monitor for ransomware payloads, suspicious file encryption activity, and extortion attempts; review endpoint protection logs for anomalous behavior</w:t>
            </w:r>
          </w:p>
        </w:tc>
      </w:tr>
      <w:tr>
        <w:tc>
          <w:tcPr>
            <w:tcW w:type="dxa" w:w="3360"/>
            <w:shd w:fill="F5F5F5" w:val="clear" w:color="auto"/>
            <w:tcBorders>
              <w:top w:val="single" w:sz="4" w:space="0" w:color="CCCCCC"/>
              <w:bottom w:val="single" w:sz="4" w:space="0" w:color="CCCCCC"/>
              <w:left w:val="single" w:sz="4" w:space="0" w:color="CCCCCC"/>
              <w:right w:val="single" w:sz="4" w:space="0" w:color="CCCCCC"/>
            </w:tcBorders>
          </w:tcPr>
          <w:p>
            <w:r>
              <w:rPr>
                <w:color w:val="333333"/>
                <w:sz w:val="18"/>
              </w:rPr>
              <w:t>Russian Federation</w:t>
              <w:br/>
              <w:t>Criminal</w:t>
            </w:r>
          </w:p>
        </w:tc>
        <w:tc>
          <w:tcPr>
            <w:tcW w:type="dxa" w:w="3360"/>
            <w:tcBorders>
              <w:top w:val="single" w:sz="4" w:space="0" w:color="CCCCCC"/>
              <w:bottom w:val="single" w:sz="4" w:space="0" w:color="CCCCCC"/>
              <w:left w:val="single" w:sz="4" w:space="0" w:color="CCCCCC"/>
              <w:right w:val="single" w:sz="4" w:space="0" w:color="CCCCCC"/>
            </w:tcBorders>
          </w:tcPr>
          <w:p>
            <w:r>
              <w:rPr>
                <w:color w:val="333333"/>
                <w:sz w:val="18"/>
              </w:rPr>
              <w:t>TRAVELING SPIDER</w:t>
            </w:r>
          </w:p>
        </w:tc>
        <w:tc>
          <w:tcPr>
            <w:tcW w:type="dxa" w:w="3360"/>
            <w:shd w:fill="E3F2FD" w:val="clear" w:color="auto"/>
            <w:tcBorders>
              <w:top w:val="single" w:sz="4" w:space="0" w:color="CCCCCC"/>
              <w:bottom w:val="single" w:sz="4" w:space="0" w:color="CCCCCC"/>
              <w:left w:val="single" w:sz="4" w:space="0" w:color="CCCCCC"/>
              <w:right w:val="single" w:sz="4" w:space="0" w:color="CCCCCC"/>
            </w:tcBorders>
          </w:tcPr>
          <w:p>
            <w:r>
              <w:rPr>
                <w:color w:val="333333"/>
                <w:sz w:val="18"/>
              </w:rPr>
              <w:t>Monitor for credential harvesting, unauthorized access attempts, and suspicious outbound connections</w:t>
            </w:r>
          </w:p>
        </w:tc>
      </w:tr>
      <w:tr>
        <w:tc>
          <w:tcPr>
            <w:tcW w:type="dxa" w:w="3360"/>
            <w:shd w:fill="F5F5F5" w:val="clear" w:color="auto"/>
            <w:tcBorders>
              <w:top w:val="single" w:sz="4" w:space="0" w:color="CCCCCC"/>
              <w:bottom w:val="single" w:sz="4" w:space="0" w:color="CCCCCC"/>
              <w:left w:val="single" w:sz="4" w:space="0" w:color="CCCCCC"/>
              <w:right w:val="single" w:sz="4" w:space="0" w:color="CCCCCC"/>
            </w:tcBorders>
          </w:tcPr>
          <w:p>
            <w:r>
              <w:rPr>
                <w:color w:val="333333"/>
                <w:sz w:val="18"/>
              </w:rPr>
              <w:t>Unknown</w:t>
              <w:br/>
              <w:t>Criminal</w:t>
            </w:r>
          </w:p>
        </w:tc>
        <w:tc>
          <w:tcPr>
            <w:tcW w:type="dxa" w:w="3360"/>
            <w:tcBorders>
              <w:top w:val="single" w:sz="4" w:space="0" w:color="CCCCCC"/>
              <w:bottom w:val="single" w:sz="4" w:space="0" w:color="CCCCCC"/>
              <w:left w:val="single" w:sz="4" w:space="0" w:color="CCCCCC"/>
              <w:right w:val="single" w:sz="4" w:space="0" w:color="CCCCCC"/>
            </w:tcBorders>
          </w:tcPr>
          <w:p>
            <w:r>
              <w:rPr>
                <w:color w:val="333333"/>
                <w:sz w:val="18"/>
              </w:rPr>
              <w:t>HOOK SPIDER</w:t>
            </w:r>
          </w:p>
        </w:tc>
        <w:tc>
          <w:tcPr>
            <w:tcW w:type="dxa" w:w="3360"/>
            <w:shd w:fill="E3F2FD" w:val="clear" w:color="auto"/>
            <w:tcBorders>
              <w:top w:val="single" w:sz="4" w:space="0" w:color="CCCCCC"/>
              <w:bottom w:val="single" w:sz="4" w:space="0" w:color="CCCCCC"/>
              <w:left w:val="single" w:sz="4" w:space="0" w:color="CCCCCC"/>
              <w:right w:val="single" w:sz="4" w:space="0" w:color="CCCCCC"/>
            </w:tcBorders>
          </w:tcPr>
          <w:p>
            <w:r>
              <w:rPr>
                <w:color w:val="333333"/>
                <w:sz w:val="18"/>
              </w:rPr>
              <w:t>Monitor for vishing attempts, social engineering, and malware delivery via email or collaboration platforms</w:t>
            </w:r>
          </w:p>
        </w:tc>
      </w:tr>
    </w:tbl>
    <w:p/>
    <w:p>
      <w:pPr>
        <w:pStyle w:val="Heading1"/>
      </w:pPr>
      <w:r>
        <w:rPr>
          <w:rFonts w:ascii="Arial" w:hAnsi="Arial"/>
          <w:color w:val="FF5C41"/>
          <w:sz w:val="28"/>
        </w:rPr>
        <w:t>Exploitation Indicators for This Week's CVEs</w:t>
      </w:r>
    </w:p>
    <w:p>
      <w:pPr>
        <w:pStyle w:val="ListBullet"/>
      </w:pPr>
      <w:r>
        <w:rPr>
          <w:b/>
          <w:sz w:val="20"/>
        </w:rPr>
        <w:t>CVE-2023-33999 (WordPress Plugin: 2mb-autocode): Vulnerability detected on seven systems; details not specified but high exposure increases risk</w:t>
      </w:r>
    </w:p>
    <w:p>
      <w:pPr>
        <w:pStyle w:val="ListBullet"/>
      </w:pPr>
      <w:r>
        <w:rPr>
          <w:b/>
          <w:sz w:val="20"/>
        </w:rPr>
        <w:t>CVE-2021-39317 (WordPress Plugin: access-demo-importer): Vulnerability detected on seven systems; details not specified but high exposure increases risk</w:t>
      </w:r>
    </w:p>
    <w:p>
      <w:pPr>
        <w:pStyle w:val="ListBullet"/>
      </w:pPr>
      <w:r>
        <w:rPr>
          <w:b/>
          <w:sz w:val="20"/>
        </w:rPr>
        <w:t>CVE-2022-23975 (WordPress Plugin: access-demo-importer): Vulnerability detected on seven systems; details not specified but high exposure increases risk</w:t>
      </w:r>
    </w:p>
    <w:p>
      <w:pPr>
        <w:pStyle w:val="ListBullet"/>
      </w:pPr>
      <w:r>
        <w:rPr>
          <w:b/>
          <w:sz w:val="20"/>
        </w:rPr>
        <w:t>CVE-2022-4974 (WordPress Plugin: 3d-viewer): Vulnerability detected on six systems; details not specified but wide exposure increases risk</w:t>
      </w:r>
    </w:p>
    <w:p/>
    <w:p>
      <w:pPr>
        <w:pStyle w:val="Heading1"/>
      </w:pPr>
      <w:r>
        <w:rPr>
          <w:rFonts w:ascii="Arial" w:hAnsi="Arial"/>
          <w:color w:val="FF5C41"/>
          <w:sz w:val="28"/>
        </w:rPr>
        <w:t>Recommended Actions</w:t>
      </w:r>
    </w:p>
    <w:p>
      <w:pPr>
        <w:pStyle w:val="ListBullet"/>
      </w:pPr>
      <w:r>
        <w:rPr>
          <w:sz w:val="20"/>
        </w:rPr>
        <w:t>Patch all CVEs detected on five or more systems within seven days, prioritizing CVE-2023-33999, CVE-2021-39317, CVE-2022-23975, and CVE-2022-4974</w:t>
      </w:r>
    </w:p>
    <w:p>
      <w:pPr>
        <w:pStyle w:val="ListBullet"/>
      </w:pPr>
      <w:r>
        <w:rPr>
          <w:sz w:val="20"/>
        </w:rPr>
        <w:t>Conduct targeted threat hunting for ransomware and extortion activity associated with VICE SPIDER, TRAVELING SPIDER, and HOOK SPIDER</w:t>
      </w:r>
    </w:p>
    <w:p>
      <w:pPr>
        <w:pStyle w:val="ListBullet"/>
      </w:pPr>
      <w:r>
        <w:rPr>
          <w:sz w:val="20"/>
        </w:rPr>
        <w:t>Review access controls and audit logs for systems storing research and patient data to ensure compliance with HIPAA and FDA requirements</w:t>
      </w:r>
    </w:p>
    <w:p>
      <w:pPr>
        <w:pStyle w:val="ListBullet"/>
      </w:pPr>
      <w:r>
        <w:rPr>
          <w:sz w:val="20"/>
        </w:rPr>
        <w:t>Monitor for vishing and social engineering attempts, especially those leveraging collaboration platforms as reported in OSINT articles</w:t>
      </w:r>
    </w:p>
    <w:p>
      <w:pPr>
        <w:pStyle w:val="ListBullet"/>
      </w:pPr>
      <w:r>
        <w:rPr>
          <w:sz w:val="20"/>
        </w:rPr>
        <w:t>Update endpoint protection and network monitoring rules to detect anomalous activity and known indicators from Intel471 and CrowdStrike feeds</w:t>
      </w:r>
    </w:p>
    <w:p/>
    <w:p>
      <w:pPr>
        <w:pStyle w:val="Heading1"/>
      </w:pPr>
      <w:r>
        <w:rPr>
          <w:rFonts w:ascii="Arial" w:hAnsi="Arial"/>
          <w:color w:val="FF5C41"/>
          <w:sz w:val="28"/>
        </w:rPr>
        <w:t>Sources</w:t>
      </w:r>
    </w:p>
    <w:p>
      <w:pPr>
        <w:pStyle w:val="ListBullet"/>
      </w:pPr>
      <w:r>
        <w:rPr>
          <w:b/>
          <w:sz w:val="20"/>
        </w:rPr>
        <w:t>NIST National Vulnerability Database (NVD)</w:t>
      </w:r>
      <w:r>
        <w:rPr>
          <w:color w:val="666666"/>
          <w:sz w:val="20"/>
        </w:rPr>
        <w:t xml:space="preserve">  https://nvd.nist.gov/</w:t>
      </w:r>
    </w:p>
    <w:p>
      <w:pPr>
        <w:pStyle w:val="ListBullet"/>
      </w:pPr>
      <w:r>
        <w:rPr>
          <w:b/>
          <w:sz w:val="20"/>
        </w:rPr>
        <w:t>CISA Known Exploited Vulnerabilities (KEV) Catalog</w:t>
      </w:r>
      <w:r>
        <w:rPr>
          <w:color w:val="666666"/>
          <w:sz w:val="20"/>
        </w:rPr>
        <w:t xml:space="preserve">  https://www.cisa.gov/known-exploited-vulnerabilities-catalog</w:t>
      </w:r>
    </w:p>
    <w:p>
      <w:pPr>
        <w:pStyle w:val="ListBullet"/>
      </w:pPr>
      <w:r>
        <w:rPr>
          <w:b/>
          <w:sz w:val="20"/>
        </w:rPr>
        <w:t>Rapid7 InsightVM</w:t>
      </w:r>
      <w:r>
        <w:rPr>
          <w:color w:val="666666"/>
          <w:sz w:val="20"/>
        </w:rPr>
        <w:t xml:space="preserve"> — Asset vulnerability scans and exposure data</w:t>
      </w:r>
    </w:p>
    <w:p>
      <w:pPr>
        <w:pStyle w:val="ListBullet"/>
      </w:pPr>
      <w:r>
        <w:rPr>
          <w:b/>
          <w:sz w:val="20"/>
        </w:rPr>
        <w:t>CrowdStrike Falcon Intelligence</w:t>
      </w:r>
      <w:r>
        <w:rPr>
          <w:color w:val="666666"/>
          <w:sz w:val="20"/>
        </w:rPr>
        <w:t xml:space="preserve"> — Threat actor profiles and APT tracking</w:t>
      </w:r>
    </w:p>
    <w:p>
      <w:pPr>
        <w:pStyle w:val="ListBullet"/>
      </w:pPr>
      <w:r>
        <w:rPr>
          <w:b/>
          <w:sz w:val="20"/>
        </w:rPr>
        <w:t>Intel471 Titan</w:t>
      </w:r>
      <w:r>
        <w:rPr>
          <w:color w:val="666666"/>
          <w:sz w:val="20"/>
        </w:rPr>
        <w:t xml:space="preserve"> — Underground threat intelligence and breach reporting</w:t>
      </w:r>
    </w:p>
    <w:p>
      <w:pPr>
        <w:pStyle w:val="ListBullet"/>
      </w:pPr>
      <w:r>
        <w:rPr>
          <w:b/>
          <w:sz w:val="20"/>
        </w:rPr>
        <w:t>ThreatQ</w:t>
      </w:r>
      <w:r>
        <w:rPr>
          <w:color w:val="666666"/>
          <w:sz w:val="20"/>
        </w:rPr>
        <w:t xml:space="preserve"> — Indicator of compromise (IOC) aggregation</w:t>
      </w:r>
    </w:p>
    <w:p>
      <w:pPr>
        <w:pStyle w:val="ListBullet"/>
      </w:pPr>
      <w:r>
        <w:rPr>
          <w:b/>
          <w:sz w:val="20"/>
        </w:rPr>
        <w:t>MITRE ATT&amp;CK</w:t>
      </w:r>
      <w:r>
        <w:rPr>
          <w:color w:val="666666"/>
          <w:sz w:val="20"/>
        </w:rPr>
        <w:t xml:space="preserve">  https://attack.mitre.org/</w:t>
      </w:r>
    </w:p>
    <w:p/>
    <w:p>
      <w:pPr>
        <w:jc w:val="center"/>
      </w:pPr>
      <w:r>
        <w:rPr>
          <w:b/>
          <w:sz w:val="20"/>
        </w:rPr>
        <w:t>Questions or suspicious activity: secops@company.com | ServiceNow | cti@company.com</w:t>
      </w:r>
    </w:p>
    <w:p/>
    <w:sectPr w:rsidR="00FC693F" w:rsidRPr="0006063C" w:rsidSect="00034616">
      <w:background w:color="FFFFFF"/>
      <w:pgPr>
        <w:vAlign w:val="top"/>
      </w:pgPr>
      <w:headerReference w:type="default" r:id="rId9"/>
      <w:pgSz w:w="12240" w:h="15840"/>
      <w:pgMar w:top="1800" w:right="1080" w:bottom="1267" w:left="108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6400800" cy="687772"/>
          <wp:docPr id="1" name="Picture 1"/>
          <wp:cNvGraphicFramePr>
            <a:graphicFrameLocks noChangeAspect="1"/>
          </wp:cNvGraphicFramePr>
          <a:graphic>
            <a:graphicData uri="http://schemas.openxmlformats.org/drawingml/2006/picture">
              <pic:pic>
                <pic:nvPicPr>
                  <pic:cNvPr id="0" name="Bulletin_banner.jpg"/>
                  <pic:cNvPicPr/>
                </pic:nvPicPr>
                <pic:blipFill>
                  <a:blip r:embed="rId1"/>
                  <a:stretch>
                    <a:fillRect/>
                  </a:stretch>
                </pic:blipFill>
                <pic:spPr>
                  <a:xfrm>
                    <a:off x="0" y="0"/>
                    <a:ext cx="6400800" cy="687772"/>
                  </a:xfrm>
                  <a:prstGeom prst="rect"/>
                </pic:spPr>
              </pic:pic>
            </a:graphicData>
          </a:graphic>
        </wp:inline>
      </w:drawing>
    </w:r>
  </w:p>
  <w:p>
    <w:pPr>
      <w:spacing w:before="40" w:after="0"/>
      <w:jc w:val="right"/>
    </w:pPr>
    <w:r>
      <w:rPr>
        <w:rFonts w:ascii="Consolas" w:hAnsi="Consolas"/>
        <w:color w:val="B0B0B0"/>
        <w:sz w:val="16"/>
      </w:rPr>
      <w:t>CTI-WK-2026-17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isplayBackgroundShap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40" w:lineRule="auto"/>
    </w:pPr>
    <w:rPr>
      <w:rFonts w:ascii="Arial" w:hAnsi="Arial"/>
      <w:color w:val="33333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60" w:line="240"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60"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0" w:after="60" w:line="240"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