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0" w:line="216" w:lineRule="auto"/>
        <w:jc w:val="left"/>
      </w:pPr>
      <w:r>
        <w:rPr>
          <w:rFonts w:ascii="Arial" w:hAnsi="Arial"/>
          <w:b/>
          <w:color w:val="FF5C41"/>
          <w:sz w:val="36"/>
        </w:rPr>
        <w:t>Cyber Threat Intelligence Weekly Report</w:t>
      </w:r>
    </w:p>
    <w:p>
      <w:pPr>
        <w:spacing w:before="40" w:after="120"/>
        <w:jc w:val="left"/>
      </w:pPr>
      <w:r>
        <w:rPr>
          <w:rFonts w:ascii="Arial" w:hAnsi="Arial"/>
          <w:color w:val="B0B0B0"/>
          <w:sz w:val="20"/>
        </w:rPr>
        <w:t>7-Day Lookback | April 18 to April 25, 2026</w:t>
      </w:r>
    </w:p>
    <w:p/>
    <w:p>
      <w:pPr>
        <w:pStyle w:val="Heading1"/>
        <w:spacing w:before="0" w:after="0"/>
      </w:pPr>
      <w:r>
        <w:rPr>
          <w:rFonts w:ascii="Arial" w:hAnsi="Arial"/>
          <w:b/>
          <w:color w:val="FF5C41"/>
          <w:sz w:val="28"/>
        </w:rPr>
        <w:t>Executive Summary</w:t>
      </w:r>
    </w:p>
    <w:p>
      <w:pPr>
        <w:spacing w:before="0" w:after="0"/>
        <w:jc w:val="center"/>
      </w:pPr>
      <w:r>
        <w:rPr>
          <w:color w:val="666666"/>
          <w:sz w:val="21"/>
        </w:rPr>
        <w:t>•</w:t>
      </w:r>
    </w:p>
    <w:p>
      <w:pPr>
        <w:spacing w:before="0" w:after="80" w:line="360" w:lineRule="auto"/>
      </w:pPr>
      <w:r>
        <w:rPr>
          <w:rFonts w:ascii="Arial" w:hAnsi="Arial"/>
          <w:color w:val="333333"/>
          <w:sz w:val="21"/>
        </w:rPr>
        <w:t>This week's threat intelligence review highlights a broad spectrum of vulnerabilities detected in our environment, with particular focus on those affecting research data, laboratory equipment, healthcare systems, and supply chain operations. While no critical vulnerabilities are currently being actively exploited within our environment, several high-severity CVEs are present across multiple systems, including exposures in laboratory and manufacturing assets. The presence of vulnerabilities such as CVE-2023-33999, CVE-2021-39317, and CVE-2022-23975 on seven systems each raises concerns about potential lateral movement and data compromise, especially given the targeting of healthcare and manufacturing sectors by criminal and state-sponsored threat actors. Recent OSINT articles underscore the ongoing evolution of attack techniques, including AI-powered phishing, persistent malware targeting network devices, and extortion campaigns against healthcare organizations. CrowdStrike and Intel471 data indicate continued targeting of biotech, life sciences, and manufacturing industries by actors such as VICE SPIDER, TRAVELING SPIDER, and RICOCHET CHOLLIMA. These groups are motivated by financial gain and intellectual property theft, with a history of leveraging vulnerabilities for initial access and ransomware deployment. Immediate attention should be given to patching high-exposure vulnerabilities and enhancing detection for known threat actor tactics, especially those involving credential harvesting and supply chain compromise.</w:t>
      </w:r>
    </w:p>
    <w:p>
      <w:pPr>
        <w:pStyle w:val="Heading1"/>
        <w:spacing w:before="120" w:after="0"/>
      </w:pPr>
      <w:r>
        <w:rPr>
          <w:rFonts w:ascii="Arial" w:hAnsi="Arial"/>
          <w:b/>
          <w:color w:val="FF5C41"/>
          <w:sz w:val="28"/>
        </w:rPr>
        <w:t xml:space="preserve">This Week </w:t>
      </w:r>
      <w:r>
        <w:rPr>
          <w:rFonts w:ascii="Arial" w:hAnsi="Arial"/>
          <w:b/>
          <w:color w:val="FF5C41"/>
          <w:sz w:val="28"/>
          <w:u w:val="none"/>
        </w:rPr>
        <w:t>at a Glance</w:t>
      </w:r>
    </w:p>
    <w:p>
      <w:pPr>
        <w:spacing w:before="200" w:after="80"/>
      </w:pPr>
      <w:r>
        <w:rPr>
          <w:rFonts w:ascii="Arial" w:hAnsi="Arial"/>
          <w:i/>
          <w:color w:val="B0B0B0"/>
          <w:sz w:val="18"/>
        </w:rPr>
        <w:t>Vulnerability and threat actor metrics from automated collection (April 18 to April 25, 2026).</w:t>
      </w: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36</w:t>
            </w:r>
          </w:p>
          <w:p>
            <w:pPr>
              <w:spacing w:before="0" w:after="40"/>
              <w:jc w:val="center"/>
            </w:pPr>
            <w:r>
              <w:rPr>
                <w:b/>
                <w:color w:val="000000"/>
                <w:sz w:val="20"/>
              </w:rPr>
              <w:t>New This Week</w:t>
            </w:r>
          </w:p>
          <w:p>
            <w:pPr>
              <w:spacing w:before="0" w:after="160"/>
              <w:jc w:val="center"/>
            </w:pPr>
            <w:r>
              <w:rPr>
                <w:rFonts w:ascii="Arial" w:hAnsi="Arial"/>
                <w:color w:val="666666"/>
                <w:sz w:val="16"/>
              </w:rPr>
              <w:t>First appearance in Rapid7 scans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0</w:t>
            </w:r>
          </w:p>
          <w:p>
            <w:pPr>
              <w:spacing w:before="0" w:after="40"/>
              <w:jc w:val="center"/>
            </w:pPr>
            <w:r>
              <w:rPr>
                <w:b/>
                <w:color w:val="000000"/>
                <w:sz w:val="20"/>
              </w:rPr>
              <w:t>Persistent (3+ Wks)</w:t>
            </w:r>
          </w:p>
          <w:p>
            <w:pPr>
              <w:spacing w:before="0" w:after="160"/>
              <w:jc w:val="center"/>
            </w:pPr>
            <w:r>
              <w:rPr>
                <w:rFonts w:ascii="Arial" w:hAnsi="Arial"/>
                <w:color w:val="666666"/>
                <w:sz w:val="16"/>
              </w:rPr>
              <w:t>Unresolved from prior reports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2ECC71"/>
                <w:sz w:val="44"/>
              </w:rPr>
              <w:t>0</w:t>
            </w:r>
          </w:p>
          <w:p>
            <w:pPr>
              <w:spacing w:before="0" w:after="40"/>
              <w:jc w:val="center"/>
            </w:pPr>
            <w:r>
              <w:rPr>
                <w:b/>
                <w:color w:val="000000"/>
                <w:sz w:val="20"/>
              </w:rPr>
              <w:t>Resolved</w:t>
            </w:r>
          </w:p>
          <w:p>
            <w:pPr>
              <w:spacing w:before="0" w:after="160"/>
              <w:jc w:val="center"/>
            </w:pPr>
            <w:r>
              <w:rPr>
                <w:rFonts w:ascii="Arial" w:hAnsi="Arial"/>
                <w:color w:val="666666"/>
                <w:sz w:val="16"/>
              </w:rPr>
              <w:t>Remediated since last week</w:t>
            </w:r>
          </w:p>
        </w:tc>
      </w:tr>
    </w:tbl>
    <w:p>
      <w:pPr>
        <w:spacing w:before="0" w:after="400"/>
      </w:pP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36</w:t>
            </w:r>
          </w:p>
          <w:p>
            <w:pPr>
              <w:spacing w:before="0" w:after="40"/>
              <w:jc w:val="center"/>
            </w:pPr>
            <w:r>
              <w:rPr>
                <w:b/>
                <w:color w:val="000000"/>
                <w:sz w:val="20"/>
              </w:rPr>
              <w:t>Total Exposed</w:t>
            </w:r>
          </w:p>
          <w:p>
            <w:pPr>
              <w:spacing w:before="0" w:after="160"/>
              <w:jc w:val="center"/>
            </w:pPr>
            <w:r>
              <w:rPr>
                <w:rFonts w:ascii="Arial" w:hAnsi="Arial"/>
                <w:color w:val="666666"/>
                <w:sz w:val="16"/>
              </w:rPr>
              <w:t>CVEs on assets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0</w:t>
            </w:r>
          </w:p>
          <w:p>
            <w:pPr>
              <w:spacing w:before="0" w:after="40"/>
              <w:jc w:val="center"/>
            </w:pPr>
            <w:r>
              <w:rPr>
                <w:b/>
                <w:color w:val="000000"/>
                <w:sz w:val="20"/>
              </w:rPr>
              <w:t>Actively Exploited</w:t>
            </w:r>
          </w:p>
          <w:p>
            <w:pPr>
              <w:spacing w:before="0" w:after="160"/>
              <w:jc w:val="center"/>
            </w:pPr>
            <w:r>
              <w:rPr>
                <w:rFonts w:ascii="Arial" w:hAnsi="Arial"/>
                <w:color w:val="666666"/>
                <w:sz w:val="16"/>
              </w:rPr>
              <w:t>Confirmed threat actor use</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5</w:t>
            </w:r>
          </w:p>
          <w:p>
            <w:pPr>
              <w:spacing w:before="0" w:after="40"/>
              <w:jc w:val="center"/>
            </w:pPr>
            <w:r>
              <w:rPr>
                <w:b/>
                <w:color w:val="000000"/>
                <w:sz w:val="20"/>
              </w:rPr>
              <w:t>Actor Groups</w:t>
            </w:r>
          </w:p>
          <w:p>
            <w:pPr>
              <w:spacing w:before="0" w:after="160"/>
              <w:jc w:val="center"/>
            </w:pPr>
            <w:r>
              <w:rPr>
                <w:rFonts w:ascii="Arial" w:hAnsi="Arial"/>
                <w:color w:val="666666"/>
                <w:sz w:val="16"/>
              </w:rPr>
              <w:t>Targeting biotech sector</w:t>
            </w:r>
          </w:p>
        </w:tc>
      </w:tr>
    </w:tbl>
    <w:p>
      <w:pPr>
        <w:spacing w:before="0" w:after="120"/>
      </w:pPr>
    </w:p>
    <w:p>
      <w:pPr>
        <w:pStyle w:val="Heading1"/>
      </w:pPr>
      <w:r>
        <w:rPr>
          <w:rFonts w:ascii="Arial" w:hAnsi="Arial"/>
          <w:color w:val="FF5C41"/>
          <w:sz w:val="28"/>
        </w:rPr>
        <w:t>Vulnerability Exposure</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CVE ID</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Affected Product</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Exposure</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Exploited By</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Priority</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Wks</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CVE-2023-33999</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N/A</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CVE-2021-39317</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N/A</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CVE-2022-23975</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N/A</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CVE-2022-4974</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N/A</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6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CVE-2022-23976</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N/A</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CVE-2025-64293</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N/A</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CVE-2024-13555</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N/A</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CVE-2024-13609</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N/A</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CVE-2025-3455</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N/A</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CVE-2022-45357</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N/A</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tcBorders>
              <w:top w:val="single" w:sz="4" w:space="0" w:color="CCCCCC"/>
              <w:bottom w:val="single" w:sz="4" w:space="0" w:color="CCCCCC"/>
              <w:left w:val="single" w:sz="4" w:space="0" w:color="CCCCCC"/>
              <w:right w:val="single" w:sz="4" w:space="0" w:color="CCCCCC"/>
            </w:tcBorders>
          </w:tcPr>
          <w:p>
            <w:pPr>
              <w:jc w:val="center"/>
            </w:pPr>
            <w:r>
              <w:rPr>
                <w:color w:val="333333"/>
                <w:sz w:val="18"/>
              </w:rPr>
              <w:t>New</w:t>
            </w:r>
          </w:p>
        </w:tc>
      </w:tr>
    </w:tbl>
    <w:p>
      <w:pPr>
        <w:jc w:val="left"/>
      </w:pPr>
      <w:r>
        <w:rPr>
          <w:rFonts w:ascii="Arial" w:hAnsi="Arial"/>
          <w:i/>
          <w:color w:val="666666"/>
          <w:sz w:val="14"/>
        </w:rPr>
        <w:t>Priority: P1 = Address immediately (24-48 hours) • P2 = Patch within 7-14 days • P3 = Schedule within 30 days   |   Wks = consecutive weeks detected. Items at 3+ weeks (yellow) are persistent and require escalation. Items at 4+ weeks (red) are long overdue. Source: Rapid7 InsightVM scans.</w:t>
      </w:r>
    </w:p>
    <w:p/>
    <w:p>
      <w:pPr>
        <w:pStyle w:val="Heading1"/>
      </w:pPr>
      <w:r>
        <w:rPr>
          <w:rFonts w:ascii="Arial" w:hAnsi="Arial"/>
          <w:color w:val="FF5C41"/>
          <w:sz w:val="28"/>
        </w:rPr>
        <w:t>Sector Threat Activity</w:t>
      </w:r>
    </w:p>
    <w:p>
      <w:r>
        <w:rPr>
          <w:i/>
          <w:color w:val="666666"/>
          <w:sz w:val="20"/>
        </w:rPr>
        <w:t>The following threat actors have been observed targeting organizations in the biotech, pharmaceutical, healthcare, manufacturing, and related sectors this week.</w:t>
      </w:r>
    </w:p>
    <w:p/>
    <w:tbl>
      <w:tblPr>
        <w:tblW w:type="auto" w:w="0"/>
        <w:tblLook w:firstColumn="1" w:firstRow="1" w:lastColumn="0" w:lastRow="0" w:noHBand="0" w:noVBand="1" w:val="04A0"/>
      </w:tblPr>
      <w:tblGrid>
        <w:gridCol w:w="3360"/>
        <w:gridCol w:w="3360"/>
        <w:gridCol w:w="3360"/>
      </w:tblGrid>
      <w:tr>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Origin / Motivation</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Activity Observed</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What to Monitor</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Unknown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VICE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ransomware activity, unauthorized access attempts, and suspicious file encryption processes.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Russian Federation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TRAVELING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Watch for credential harvesting, lateral movement, and abnormal network traffic to Russia.</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North Korea</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RICOCHET CHOLLIMA</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phishing campaigns, unusual outbound connections, and attempts to access sensitive research data.</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Iran</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HYDRO KITTEN</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Scan for PowerShell activity, monitor for credential harvesting, and review access logs for anomalies.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China</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CASCADE PANDA</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spear phishing, supply chain compromise, and unauthorized access to research databases.</w:t>
            </w:r>
          </w:p>
        </w:tc>
      </w:tr>
    </w:tbl>
    <w:p/>
    <w:p>
      <w:pPr>
        <w:pStyle w:val="Heading1"/>
      </w:pPr>
      <w:r>
        <w:rPr>
          <w:rFonts w:ascii="Arial" w:hAnsi="Arial"/>
          <w:color w:val="FF5C41"/>
          <w:sz w:val="28"/>
        </w:rPr>
        <w:t>Exploitation Indicators for This Week's CVEs</w:t>
      </w:r>
    </w:p>
    <w:p>
      <w:pPr>
        <w:pStyle w:val="ListBullet"/>
      </w:pPr>
      <w:r>
        <w:rPr>
          <w:b/>
          <w:sz w:val="20"/>
        </w:rPr>
        <w:t>CVE-2023-33999 (N/A): Vulnerability affecting multiple systems, potentially enabling unauthorized access or privilege escalation.</w:t>
      </w:r>
    </w:p>
    <w:p>
      <w:pPr>
        <w:pStyle w:val="ListBullet"/>
      </w:pPr>
      <w:r>
        <w:rPr>
          <w:b/>
          <w:sz w:val="20"/>
        </w:rPr>
        <w:t>CVE-2021-39317 (N/A): Vulnerability with potential for remote code execution or data exposure.</w:t>
      </w:r>
    </w:p>
    <w:p>
      <w:pPr>
        <w:pStyle w:val="ListBullet"/>
      </w:pPr>
      <w:r>
        <w:rPr>
          <w:b/>
          <w:sz w:val="20"/>
        </w:rPr>
        <w:t>CVE-2022-23975 (N/A): Vulnerability that may allow unauthorized access or manipulation of system data.</w:t>
      </w:r>
    </w:p>
    <w:p>
      <w:pPr>
        <w:pStyle w:val="ListBullet"/>
      </w:pPr>
      <w:r>
        <w:rPr>
          <w:b/>
          <w:sz w:val="20"/>
        </w:rPr>
        <w:t>CVE-2022-4974 (N/A): Vulnerability with potential for privilege escalation or data exposure.</w:t>
      </w:r>
    </w:p>
    <w:p>
      <w:pPr>
        <w:pStyle w:val="ListBullet"/>
      </w:pPr>
      <w:r>
        <w:rPr>
          <w:b/>
          <w:sz w:val="20"/>
        </w:rPr>
        <w:t>CVE-2022-23976 (N/A): Potential for unauthorized access or manipulation.</w:t>
      </w:r>
    </w:p>
    <w:p/>
    <w:p>
      <w:pPr>
        <w:pStyle w:val="Heading1"/>
      </w:pPr>
      <w:r>
        <w:rPr>
          <w:rFonts w:ascii="Arial" w:hAnsi="Arial"/>
          <w:color w:val="FF5C41"/>
          <w:sz w:val="28"/>
        </w:rPr>
        <w:t>Recommended Actions</w:t>
      </w:r>
    </w:p>
    <w:p>
      <w:pPr>
        <w:pStyle w:val="ListBullet"/>
      </w:pPr>
      <w:r>
        <w:rPr>
          <w:sz w:val="20"/>
        </w:rPr>
        <w:t>Patch all high-exposure vulnerabilities (CVE-2023-33999, CVE-2021-39317, CVE-2022-23975, CVE-2022-4974) within 7-14 days to reduce risk of lateral movement and data compromise.</w:t>
      </w:r>
    </w:p>
    <w:p>
      <w:pPr>
        <w:pStyle w:val="ListBullet"/>
      </w:pPr>
      <w:r>
        <w:rPr>
          <w:sz w:val="20"/>
        </w:rPr>
        <w:t>Enhance monitoring for ransomware and extortion activity, especially targeting healthcare and manufacturing assets, as highlighted by CrowdStrike actor profiles.</w:t>
      </w:r>
    </w:p>
    <w:p>
      <w:pPr>
        <w:pStyle w:val="ListBullet"/>
      </w:pPr>
      <w:r>
        <w:rPr>
          <w:b/>
          <w:sz w:val="20"/>
        </w:rPr>
        <w:t>Review laboratory and IoT device security controls to mitigate risks from persistent malware such as Firestarter, as reported in OSINT articles.</w:t>
      </w:r>
    </w:p>
    <w:p>
      <w:pPr>
        <w:pStyle w:val="ListBullet"/>
      </w:pPr>
      <w:r>
        <w:rPr>
          <w:sz w:val="20"/>
        </w:rPr>
        <w:t>Implement stricter access controls and audit logs for systems exposed to CVEs with potential for privilege escalation or sensitive data exposure.</w:t>
      </w:r>
    </w:p>
    <w:p>
      <w:pPr>
        <w:pStyle w:val="ListBullet"/>
      </w:pPr>
      <w:r>
        <w:rPr>
          <w:sz w:val="20"/>
        </w:rPr>
        <w:t>Monitor for indicators of compromise from Intel471 and CrowdStrike threat actor reports, including credential harvesting and supply chain attacks.</w:t>
      </w:r>
    </w:p>
    <w:p/>
    <w:p>
      <w:pPr>
        <w:pStyle w:val="Heading1"/>
      </w:pPr>
      <w:r>
        <w:rPr>
          <w:rFonts w:ascii="Arial" w:hAnsi="Arial"/>
          <w:color w:val="FF5C41"/>
          <w:sz w:val="28"/>
        </w:rPr>
        <w:t>Sources</w:t>
      </w:r>
    </w:p>
    <w:p>
      <w:pPr>
        <w:pStyle w:val="ListBullet"/>
      </w:pPr>
      <w:r>
        <w:rPr>
          <w:b/>
          <w:sz w:val="20"/>
        </w:rPr>
        <w:t>NIST National Vulnerability Database (NVD)</w:t>
      </w:r>
      <w:r>
        <w:rPr>
          <w:color w:val="666666"/>
          <w:sz w:val="20"/>
        </w:rPr>
        <w:t xml:space="preserve">  https://nvd.nist.gov/</w:t>
      </w:r>
    </w:p>
    <w:p>
      <w:pPr>
        <w:pStyle w:val="ListBullet"/>
      </w:pPr>
      <w:r>
        <w:rPr>
          <w:b/>
          <w:sz w:val="20"/>
        </w:rPr>
        <w:t>CISA Known Exploited Vulnerabilities (KEV) Catalog</w:t>
      </w:r>
      <w:r>
        <w:rPr>
          <w:color w:val="666666"/>
          <w:sz w:val="20"/>
        </w:rPr>
        <w:t xml:space="preserve">  https://www.cisa.gov/known-exploited-vulnerabilities-catalog</w:t>
      </w:r>
    </w:p>
    <w:p>
      <w:pPr>
        <w:pStyle w:val="ListBullet"/>
      </w:pPr>
      <w:r>
        <w:rPr>
          <w:b/>
          <w:sz w:val="20"/>
        </w:rPr>
        <w:t>Rapid7 InsightVM</w:t>
      </w:r>
      <w:r>
        <w:rPr>
          <w:color w:val="666666"/>
          <w:sz w:val="20"/>
        </w:rPr>
        <w:t xml:space="preserve"> — Asset vulnerability scans and exposure data</w:t>
      </w:r>
    </w:p>
    <w:p>
      <w:pPr>
        <w:pStyle w:val="ListBullet"/>
      </w:pPr>
      <w:r>
        <w:rPr>
          <w:b/>
          <w:sz w:val="20"/>
        </w:rPr>
        <w:t>CrowdStrike Falcon Intelligence</w:t>
      </w:r>
      <w:r>
        <w:rPr>
          <w:color w:val="666666"/>
          <w:sz w:val="20"/>
        </w:rPr>
        <w:t xml:space="preserve"> — Threat actor profiles and APT tracking</w:t>
      </w:r>
    </w:p>
    <w:p>
      <w:pPr>
        <w:pStyle w:val="ListBullet"/>
      </w:pPr>
      <w:r>
        <w:rPr>
          <w:b/>
          <w:sz w:val="20"/>
        </w:rPr>
        <w:t>Intel471 Titan</w:t>
      </w:r>
      <w:r>
        <w:rPr>
          <w:color w:val="666666"/>
          <w:sz w:val="20"/>
        </w:rPr>
        <w:t xml:space="preserve"> — Underground threat intelligence and breach reporting</w:t>
      </w:r>
    </w:p>
    <w:p>
      <w:pPr>
        <w:pStyle w:val="ListBullet"/>
      </w:pPr>
      <w:r>
        <w:rPr>
          <w:b/>
          <w:sz w:val="20"/>
        </w:rPr>
        <w:t>ThreatQ</w:t>
      </w:r>
      <w:r>
        <w:rPr>
          <w:color w:val="666666"/>
          <w:sz w:val="20"/>
        </w:rPr>
        <w:t xml:space="preserve"> — Indicator of compromise (IOC) aggregation</w:t>
      </w:r>
    </w:p>
    <w:p>
      <w:pPr>
        <w:pStyle w:val="ListBullet"/>
      </w:pPr>
      <w:r>
        <w:rPr>
          <w:b/>
          <w:sz w:val="20"/>
        </w:rPr>
        <w:t>MITRE ATT&amp;CK</w:t>
      </w:r>
      <w:r>
        <w:rPr>
          <w:color w:val="666666"/>
          <w:sz w:val="20"/>
        </w:rPr>
        <w:t xml:space="preserve">  https://attack.mitre.org/</w:t>
      </w:r>
    </w:p>
    <w:p/>
    <w:p>
      <w:pPr>
        <w:jc w:val="center"/>
      </w:pPr>
      <w:r>
        <w:rPr>
          <w:b/>
          <w:sz w:val="20"/>
        </w:rPr>
        <w:t>Questions or suspicious activity: secops@company.com | ServiceNow | cti@company.com</w:t>
      </w:r>
    </w:p>
    <w:p/>
    <w:sectPr w:rsidR="00FC693F" w:rsidRPr="0006063C" w:rsidSect="00034616">
      <w:background w:color="FFFFFF"/>
      <w:pgPr>
        <w:vAlign w:val="top"/>
      </w:pgPr>
      <w:headerReference w:type="default" r:id="rId9"/>
      <w:pgSz w:w="12240" w:h="15840"/>
      <w:pgMar w:top="1800" w:right="1080" w:bottom="1267"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400800" cy="687772"/>
          <wp:docPr id="1" name="Picture 1"/>
          <wp:cNvGraphicFramePr>
            <a:graphicFrameLocks noChangeAspect="1"/>
          </wp:cNvGraphicFramePr>
          <a:graphic>
            <a:graphicData uri="http://schemas.openxmlformats.org/drawingml/2006/picture">
              <pic:pic>
                <pic:nvPicPr>
                  <pic:cNvPr id="0" name="Bulletin_banner.jpg"/>
                  <pic:cNvPicPr/>
                </pic:nvPicPr>
                <pic:blipFill>
                  <a:blip r:embed="rId1"/>
                  <a:stretch>
                    <a:fillRect/>
                  </a:stretch>
                </pic:blipFill>
                <pic:spPr>
                  <a:xfrm>
                    <a:off x="0" y="0"/>
                    <a:ext cx="6400800" cy="687772"/>
                  </a:xfrm>
                  <a:prstGeom prst="rect"/>
                </pic:spPr>
              </pic:pic>
            </a:graphicData>
          </a:graphic>
        </wp:inline>
      </w:drawing>
    </w:r>
  </w:p>
  <w:p>
    <w:pPr>
      <w:spacing w:before="40" w:after="0"/>
      <w:jc w:val="right"/>
    </w:pPr>
    <w:r>
      <w:rPr>
        <w:rFonts w:ascii="Consolas" w:hAnsi="Consolas"/>
        <w:color w:val="B0B0B0"/>
        <w:sz w:val="16"/>
      </w:rPr>
      <w:t>CTI-WK-2026-17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Arial" w:hAnsi="Arial"/>
      <w:color w:val="33333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