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May 20 to May 27,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 threat intelligence indicates a surge in activity from both state-sponsored and criminal actors targeting biotechnology, life sciences, and manufacturing organizations. Notably, actors from Russia, China, Iran, and Brazil are actively pursuing healthcare, manufacturing, and pharmaceutical sectors, with motivations ranging from espionage to financial gain. Underground forums are seeing increased offers for exploits and database dumps, including those impacting healthcare and drug administration agencies. Ransomware and extortion groups are evolving their tactics, including in-person data theft and leveraging supply chain vulnerabilities [1].</w:t>
        <w:br/>
        <w:br/>
        <w:t>Several high-severity vulnerabilities have been published and are being actively exploited, with some newly added to the CISA KEV catalog. Critical vulnerabilities in NVIDIA Triton Inference Server and NLnet Labs Unbound DNS resolver pose risks to laboratory equipment, research data, and IoT infrastructure. The use of AI-assisted exploit development is accelerating the timeline from vulnerability disclosure to active exploitation, increasing the risk of rapid compromise [2]. Peer incidents in law firms and government agencies reinforce the need for heightened vigilance, especially regarding supply chain and third-party risks [1], [3].</w:t>
        <w:br/>
        <w:br/>
        <w:t>Emerging malware campaigns, including cryptojacking targeting high-performance computing environments and supply chain attacks via developer tools, are relevant to genomics and biotech organizations with advanced compute infrastructure [4], [5]. The disruption of the Glassworm botnet highlights ongoing threats to developer supply chains and underscores the importance of monitoring for compromised tools [5].</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Threat intelligence metrics from Intel471, CrowdStrike, and OSINT (May 20 to May 27, 2026).</w:t>
      </w:r>
    </w:p>
    <w:tbl>
      <w:tblPr>
        <w:tblW w:type="auto" w:w="0"/>
        <w:jc w:val="center"/>
        <w:tblLook w:firstColumn="1" w:firstRow="1" w:lastColumn="0" w:lastRow="0" w:noHBand="0" w:noVBand="1" w:val="04A0"/>
      </w:tblPr>
      <w:tblGrid>
        <w:gridCol w:w="5040"/>
        <w:gridCol w:w="5040"/>
      </w:tblGrid>
      <w:tr>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6</w:t>
            </w:r>
          </w:p>
          <w:p>
            <w:pPr>
              <w:spacing w:before="0" w:after="40"/>
              <w:jc w:val="center"/>
            </w:pPr>
            <w:r>
              <w:rPr>
                <w:b/>
                <w:color w:val="000000"/>
                <w:sz w:val="20"/>
              </w:rPr>
              <w:t>Threat Actors</w:t>
            </w:r>
          </w:p>
          <w:p>
            <w:pPr>
              <w:spacing w:before="0" w:after="160"/>
              <w:jc w:val="center"/>
            </w:pPr>
            <w:r>
              <w:rPr>
                <w:rFonts w:ascii="Arial" w:hAnsi="Arial"/>
                <w:color w:val="666666"/>
                <w:sz w:val="16"/>
              </w:rPr>
              <w:t>APT groups active this week</w:t>
            </w:r>
          </w:p>
        </w:tc>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Active Campaigns</w:t>
            </w:r>
          </w:p>
          <w:p>
            <w:pPr>
              <w:spacing w:before="0" w:after="160"/>
              <w:jc w:val="center"/>
            </w:pPr>
            <w:r>
              <w:rPr>
                <w:rFonts w:ascii="Arial" w:hAnsi="Arial"/>
                <w:color w:val="666666"/>
                <w:sz w:val="16"/>
              </w:rPr>
              <w:t>Operations from underground intel</w:t>
            </w:r>
          </w:p>
        </w:tc>
      </w:tr>
    </w:tbl>
    <w:p>
      <w:pPr>
        <w:spacing w:before="0" w:after="400"/>
      </w:pPr>
    </w:p>
    <w:tbl>
      <w:tblPr>
        <w:tblW w:type="auto" w:w="0"/>
        <w:jc w:val="center"/>
        <w:tblLook w:firstColumn="1" w:firstRow="1" w:lastColumn="0" w:lastRow="0" w:noHBand="0" w:noVBand="1" w:val="04A0"/>
      </w:tblPr>
      <w:tblGrid>
        <w:gridCol w:w="5040"/>
        <w:gridCol w:w="5040"/>
      </w:tblGrid>
      <w:tr>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5</w:t>
            </w:r>
          </w:p>
          <w:p>
            <w:pPr>
              <w:spacing w:before="0" w:after="40"/>
              <w:jc w:val="center"/>
            </w:pPr>
            <w:r>
              <w:rPr>
                <w:b/>
                <w:color w:val="000000"/>
                <w:sz w:val="20"/>
              </w:rPr>
              <w:t>Exploited CVEs</w:t>
            </w:r>
          </w:p>
          <w:p>
            <w:pPr>
              <w:spacing w:before="0" w:after="160"/>
              <w:jc w:val="center"/>
            </w:pPr>
            <w:r>
              <w:rPr>
                <w:rFonts w:ascii="Arial" w:hAnsi="Arial"/>
                <w:color w:val="666666"/>
                <w:sz w:val="16"/>
              </w:rPr>
              <w:t>Known exploitation activity</w:t>
            </w:r>
          </w:p>
        </w:tc>
        <w:tc>
          <w:tcPr>
            <w:tcW w:type="dxa" w:w="504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1</w:t>
            </w:r>
          </w:p>
          <w:p>
            <w:pPr>
              <w:spacing w:before="0" w:after="40"/>
              <w:jc w:val="center"/>
            </w:pPr>
            <w:r>
              <w:rPr>
                <w:b/>
                <w:color w:val="000000"/>
                <w:sz w:val="20"/>
              </w:rPr>
              <w:t>Peer Incidents</w:t>
            </w:r>
          </w:p>
          <w:p>
            <w:pPr>
              <w:spacing w:before="0" w:after="160"/>
              <w:jc w:val="center"/>
            </w:pPr>
            <w:r>
              <w:rPr>
                <w:rFonts w:ascii="Arial" w:hAnsi="Arial"/>
                <w:color w:val="666666"/>
                <w:sz w:val="16"/>
              </w:rPr>
              <w:t>Company breaches observed</w:t>
            </w:r>
          </w:p>
        </w:tc>
      </w:tr>
    </w:tbl>
    <w:p>
      <w:pPr>
        <w:spacing w:before="0" w:after="120"/>
      </w:pPr>
    </w:p>
    <w:p>
      <w:pPr>
        <w:pStyle w:val="Heading1"/>
      </w:pPr>
      <w:r>
        <w:rPr>
          <w:rFonts w:ascii="Arial" w:hAnsi="Arial"/>
          <w:color w:val="FF5C41"/>
          <w:sz w:val="28"/>
        </w:rPr>
        <w:t>Exploited Vulnerabilities</w:t>
      </w:r>
    </w:p>
    <w:p>
      <w:r>
        <w:rPr>
          <w:i/>
          <w:color w:val="333333"/>
          <w:sz w:val="16"/>
        </w:rPr>
        <w:t>CVEs with confirmed exploitation from threat intelligence (CISA KEV, threat actors, ransomware)</w:t>
      </w:r>
    </w:p>
    <w:tbl>
      <w:tblPr>
        <w:tblW w:type="auto" w:w="0"/>
        <w:tblLook w:firstColumn="1" w:firstRow="1" w:lastColumn="0" w:lastRow="0" w:noHBand="0" w:noVBand="1" w:val="04A0"/>
      </w:tblPr>
      <w:tblGrid>
        <w:gridCol w:w="1728"/>
        <w:gridCol w:w="4320"/>
        <w:gridCol w:w="288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Exploitation Evidence</w:t>
            </w:r>
          </w:p>
        </w:tc>
      </w:tr>
      <w:tr>
        <w:tc>
          <w:tcPr>
            <w:tcW w:type="dxa" w:w="336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CVE-2026-8398</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Daemon Daemon Tools Lite</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CISA KEV</w:t>
            </w:r>
          </w:p>
        </w:tc>
      </w:tr>
      <w:tr>
        <w:tc>
          <w:tcPr>
            <w:tcW w:type="dxa" w:w="336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CVE-2026-45321</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TanStack TanStack</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CISA KEV</w:t>
            </w:r>
          </w:p>
        </w:tc>
      </w:tr>
      <w:tr>
        <w:tc>
          <w:tcPr>
            <w:tcW w:type="dxa" w:w="336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CVE-2026-24207</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NVIDIA Triton Inference Server</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CISA KEV</w:t>
            </w:r>
          </w:p>
        </w:tc>
      </w:tr>
      <w:tr>
        <w:tc>
          <w:tcPr>
            <w:tcW w:type="dxa" w:w="336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CVE-2026-33278</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Labs Unbound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Active exploit</w:t>
            </w:r>
          </w:p>
        </w:tc>
      </w:tr>
      <w:tr>
        <w:tc>
          <w:tcPr>
            <w:tcW w:type="dxa" w:w="3360"/>
            <w:tcBorders>
              <w:top w:val="single" w:sz="4" w:space="0" w:color="CCCCCC"/>
              <w:bottom w:val="single" w:sz="4" w:space="0" w:color="CCCCCC"/>
              <w:left w:val="single" w:sz="4" w:space="0" w:color="CCCCCC"/>
              <w:right w:val="single" w:sz="4" w:space="0" w:color="CCCCCC"/>
            </w:tcBorders>
          </w:tcPr>
          <w:p>
            <w:r>
              <w:rPr>
                <w:b/>
                <w:color w:val="333333"/>
                <w:sz w:val="18"/>
              </w:rPr>
            </w:r>
            <w:r>
              <w:rPr>
                <w:b/>
                <w:color w:val="333333"/>
                <w:sz w:val="18"/>
              </w:rPr>
              <w:t>CVE-2026-42960</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Labs Unbound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Active exploit</w:t>
            </w:r>
          </w:p>
        </w:tc>
      </w:tr>
    </w:tbl>
    <w:p>
      <w:pPr>
        <w:jc w:val="left"/>
      </w:pPr>
      <w:r>
        <w:rPr>
          <w:rFonts w:ascii="Arial" w:hAnsi="Arial"/>
          <w:i/>
          <w:color w:val="666666"/>
          <w:sz w:val="14"/>
        </w:rPr>
        <w:t>Table: 5 exploited CVEs from threat intelligence sources (Intel471, CrowdStrike, CISA KEV, OSINT).</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abnormal authentication attempts, suspicious outbound traffic, and credential harvesting.</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Hacktivism</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BOUNTY JACKAL</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denial of service attempts, extortion communications, and unauthorized access.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BITWISE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indicators, suspicious file activity, and lateral movement.</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China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CASCADE PANDA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unauthorized data transfers, abnormal network activity, and privilege escalation.</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Brazil</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PLUMP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credential harvesting, suspicious downloads, and malware indicators.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Morocco (possible)</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flowflow</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exploit kit indicators, privilege escalation attempts, and unauthorized remote access.</w:t>
            </w:r>
          </w:p>
        </w:tc>
      </w:tr>
    </w:tbl>
    <w:p/>
    <w:p>
      <w:pPr>
        <w:pStyle w:val="Heading1"/>
      </w:pPr>
      <w:r>
        <w:rPr>
          <w:rFonts w:ascii="Arial" w:hAnsi="Arial"/>
          <w:color w:val="FF5C41"/>
          <w:sz w:val="28"/>
        </w:rPr>
        <w:t>Industry Incidents</w:t>
      </w:r>
    </w:p>
    <w:p>
      <w:r>
        <w:rPr>
          <w:i/>
          <w:color w:val="666666"/>
          <w:sz w:val="20"/>
        </w:rPr>
        <w:t>Notable security incidents affecting organizations in similar sectors or technology stacks, observed from public breach disclosures and security news sources.</w:t>
      </w:r>
    </w:p>
    <w:p/>
    <w:tbl>
      <w:tblPr>
        <w:tblW w:type="auto" w:w="0"/>
        <w:tblLook w:firstColumn="1" w:firstRow="1" w:lastColumn="0" w:lastRow="0" w:noHBand="0" w:noVBand="1" w:val="04A0"/>
      </w:tblPr>
      <w:tblGrid>
        <w:gridCol w:w="2880"/>
        <w:gridCol w:w="2160"/>
        <w:gridCol w:w="1440"/>
        <w:gridCol w:w="2448"/>
      </w:tblGrid>
      <w:tr>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Organization</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Incident Type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Date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Source</w:t>
            </w:r>
          </w:p>
        </w:tc>
      </w:tr>
      <w:tr>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Latin America Breach</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Breach</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2026-05-22</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darkreading.com</w:t>
            </w:r>
          </w:p>
        </w:tc>
      </w:tr>
    </w:tbl>
    <w:p>
      <w:pPr>
        <w:jc w:val="left"/>
      </w:pPr>
      <w:r>
        <w:rPr>
          <w:rFonts w:ascii="Arial" w:hAnsi="Arial"/>
          <w:i/>
          <w:color w:val="666666"/>
          <w:sz w:val="14"/>
        </w:rPr>
        <w:t>Table: 1 peer incidents from OSINT sources. Incidents may indicate threat actor targeting patterns or emerging attack vectors.</w:t>
      </w:r>
    </w:p>
    <w:p/>
    <w:p>
      <w:pPr>
        <w:pStyle w:val="Heading1"/>
      </w:pPr>
      <w:r>
        <w:rPr>
          <w:rFonts w:ascii="Arial" w:hAnsi="Arial"/>
          <w:color w:val="FF5C41"/>
          <w:sz w:val="28"/>
        </w:rPr>
        <w:t>Recommended Actions</w:t>
      </w:r>
    </w:p>
    <w:p>
      <w:pPr>
        <w:pStyle w:val="ListBullet"/>
      </w:pPr>
      <w:r>
        <w:rPr>
          <w:sz w:val="20"/>
        </w:rPr>
        <w:t>Patch all systems affected by CVEs in the CISA KEV catalog, especially NVIDIA Triton Inference Server and NLnet Labs Unbound.</w:t>
      </w:r>
    </w:p>
    <w:p>
      <w:pPr>
        <w:pStyle w:val="ListBullet"/>
      </w:pPr>
      <w:r>
        <w:rPr>
          <w:sz w:val="20"/>
        </w:rPr>
        <w:t>Monitor for abnormal authentication attempts, privilege escalation, and lateral movement across laboratory and research infrastructure.</w:t>
      </w:r>
    </w:p>
    <w:p>
      <w:pPr>
        <w:pStyle w:val="ListBullet"/>
      </w:pPr>
      <w:r>
        <w:rPr>
          <w:sz w:val="20"/>
        </w:rPr>
        <w:t>Implement strict access controls and audit logs for web portals, email systems, and laboratory management tools.</w:t>
      </w:r>
    </w:p>
    <w:p>
      <w:pPr>
        <w:pStyle w:val="ListBullet"/>
      </w:pPr>
      <w:r>
        <w:rPr>
          <w:sz w:val="20"/>
        </w:rPr>
        <w:t>Review supply chain and vendor security practices, including developer toolchains and third-party plugins.</w:t>
      </w:r>
    </w:p>
    <w:p>
      <w:pPr>
        <w:pStyle w:val="ListBullet"/>
      </w:pPr>
      <w:r>
        <w:rPr>
          <w:sz w:val="20"/>
        </w:rPr>
        <w:t>Deploy endpoint detection and response solutions to monitor for ransomware, cryptojacking, and exploit kit activity.</w:t>
      </w:r>
    </w:p>
    <w:p/>
    <w:p>
      <w:pPr>
        <w:pStyle w:val="Heading1"/>
      </w:pPr>
      <w:r>
        <w:rPr>
          <w:rFonts w:ascii="Arial" w:hAnsi="Arial"/>
          <w:color w:val="FF5C41"/>
          <w:sz w:val="28"/>
        </w:rPr>
        <w:t>Resources &amp; Intelligence Sources</w:t>
      </w:r>
    </w:p>
    <w:p>
      <w:r>
        <w:rPr>
          <w:i/>
          <w:color w:val="666666"/>
          <w:sz w:val="20"/>
        </w:rPr>
        <w:t>This report was compiled using the following intelligence sources:</w:t>
      </w:r>
    </w:p>
    <w:p>
      <w:pPr>
        <w:pStyle w:val="ListBullet"/>
      </w:pPr>
      <w:r>
        <w:rPr>
          <w:sz w:val="20"/>
        </w:rPr>
        <w:t>NIST National Vulnerability Database (NVD)</w:t>
      </w:r>
    </w:p>
    <w:p>
      <w:pPr>
        <w:pStyle w:val="ListBullet"/>
      </w:pPr>
      <w:r>
        <w:rPr>
          <w:sz w:val="20"/>
        </w:rPr>
        <w:t>CISA Known Exploited Vulnerabilities (KEV) Catalog</w:t>
      </w:r>
    </w:p>
    <w:p>
      <w:pPr>
        <w:pStyle w:val="ListBullet"/>
      </w:pPr>
      <w:r>
        <w:rPr>
          <w:sz w:val="20"/>
        </w:rPr>
        <w:t>CrowdStrike Falcon Intelligence</w:t>
      </w:r>
    </w:p>
    <w:p>
      <w:pPr>
        <w:pStyle w:val="ListBullet"/>
      </w:pPr>
      <w:r>
        <w:rPr>
          <w:sz w:val="20"/>
        </w:rPr>
        <w:t>Intel471 Titan threat intelligence platform</w:t>
      </w:r>
    </w:p>
    <w:p>
      <w:pPr>
        <w:pStyle w:val="ListBullet"/>
      </w:pPr>
      <w:r>
        <w:rPr>
          <w:sz w:val="20"/>
        </w:rPr>
        <w:t>ThreatQ threat intelligence management platform</w:t>
      </w:r>
    </w:p>
    <w:p/>
    <w:p>
      <w:r>
        <w:rPr>
          <w:b/>
          <w:color w:val="333333"/>
          <w:sz w:val="20"/>
        </w:rPr>
        <w:t>Open Source Intelligence (OSINT) Sources:</w:t>
      </w:r>
    </w:p>
    <w:p>
      <w:pPr>
        <w:pStyle w:val="ListBullet"/>
      </w:pPr>
      <w:r>
        <w:rPr>
          <w:b/>
          <w:color w:val="333333"/>
          <w:sz w:val="16"/>
        </w:rPr>
        <w:t xml:space="preserve">[1] </w:t>
      </w:r>
      <w:hyperlink r:id="rId10">
        <w:r>
          <w:rPr>
            <w:color w:val="0563C1"/>
            <w:u w:val="single"/>
          </w:rPr>
          <w:t>Law firm extortion</w:t>
        </w:r>
      </w:hyperlink>
      <w:r>
        <w:rPr>
          <w:i/>
          <w:color w:val="666666"/>
          <w:sz w:val="16"/>
        </w:rPr>
        <w:t xml:space="preserve"> - Highlights evolving ransomware tactics including in-person data theft relevant to peer incidents.</w:t>
      </w:r>
    </w:p>
    <w:p>
      <w:pPr>
        <w:pStyle w:val="ListBullet"/>
      </w:pPr>
      <w:r>
        <w:rPr>
          <w:b/>
          <w:color w:val="333333"/>
          <w:sz w:val="16"/>
        </w:rPr>
        <w:t xml:space="preserve">[2] </w:t>
      </w:r>
      <w:hyperlink r:id="rId11">
        <w:r>
          <w:rPr>
            <w:color w:val="0563C1"/>
            <w:u w:val="single"/>
          </w:rPr>
          <w:t>AI exploit development</w:t>
        </w:r>
      </w:hyperlink>
      <w:r>
        <w:rPr>
          <w:i/>
          <w:color w:val="666666"/>
          <w:sz w:val="16"/>
        </w:rPr>
        <w:t xml:space="preserve"> - Shows attackers using AI to accelerate exploit development timelines, increasing risk to research environments.</w:t>
      </w:r>
    </w:p>
    <w:p>
      <w:pPr>
        <w:pStyle w:val="ListBullet"/>
      </w:pPr>
      <w:r>
        <w:rPr>
          <w:b/>
          <w:color w:val="333333"/>
          <w:sz w:val="16"/>
        </w:rPr>
        <w:t xml:space="preserve">[3] </w:t>
      </w:r>
      <w:hyperlink r:id="rId12">
        <w:r>
          <w:rPr>
            <w:color w:val="0563C1"/>
            <w:u w:val="single"/>
          </w:rPr>
          <w:t>Latin America breach</w:t>
        </w:r>
      </w:hyperlink>
      <w:r>
        <w:rPr>
          <w:i/>
          <w:color w:val="666666"/>
          <w:sz w:val="16"/>
        </w:rPr>
        <w:t xml:space="preserve"> - Peer incident involving government data breach, relevant to supply chain and regulatory risk.</w:t>
      </w:r>
    </w:p>
    <w:p>
      <w:pPr>
        <w:pStyle w:val="ListBullet"/>
      </w:pPr>
      <w:r>
        <w:rPr>
          <w:b/>
          <w:color w:val="333333"/>
          <w:sz w:val="16"/>
        </w:rPr>
        <w:t xml:space="preserve">[4] </w:t>
      </w:r>
      <w:hyperlink r:id="rId13">
        <w:r>
          <w:rPr>
            <w:color w:val="0563C1"/>
            <w:u w:val="single"/>
          </w:rPr>
          <w:t>GPU mining malware</w:t>
        </w:r>
      </w:hyperlink>
      <w:r>
        <w:rPr>
          <w:i/>
          <w:color w:val="666666"/>
          <w:sz w:val="16"/>
        </w:rPr>
        <w:t xml:space="preserve"> - Cryptojacking campaign targeting high-performance computing and AI infrastructure.</w:t>
      </w:r>
    </w:p>
    <w:p>
      <w:pPr>
        <w:pStyle w:val="ListBullet"/>
      </w:pPr>
      <w:r>
        <w:rPr>
          <w:b/>
          <w:color w:val="333333"/>
          <w:sz w:val="16"/>
        </w:rPr>
        <w:t xml:space="preserve">[5] </w:t>
      </w:r>
      <w:hyperlink r:id="rId14">
        <w:r>
          <w:rPr>
            <w:color w:val="0563C1"/>
            <w:u w:val="single"/>
          </w:rPr>
          <w:t>Glassworm botnet takedown</w:t>
        </w:r>
      </w:hyperlink>
      <w:r>
        <w:rPr>
          <w:i/>
          <w:color w:val="666666"/>
          <w:sz w:val="16"/>
        </w:rPr>
        <w:t xml:space="preserve"> - Supply chain attack infrastructure disrupted, relevant to developer toolchain and peer risk.</w:t>
      </w:r>
    </w:p>
    <w:p/>
    <w:p/>
    <w:tbl>
      <w:tblPr>
        <w:tblW w:type="auto" w:w="0"/>
        <w:tblLook w:firstColumn="1" w:firstRow="1" w:lastColumn="0" w:lastRow="0" w:noHBand="0" w:noVBand="1" w:val="04A0"/>
      </w:tblPr>
      <w:tblGrid>
        <w:gridCol w:w="10080"/>
      </w:tblGrid>
      <w:tr>
        <w:tc>
          <w:tcPr>
            <w:tcW w:type="dxa" w:w="10080"/>
            <w:shd w:fill="E8F4F8" w:val="clear" w:color="auto"/>
            <w:tcBorders>
              <w:top w:val="single" w:sz="8" w:space="0" w:color="B0D4E3"/>
              <w:bottom w:val="single" w:sz="8" w:space="0" w:color="B0D4E3"/>
              <w:left w:val="single" w:sz="8" w:space="0" w:color="B0D4E3"/>
              <w:right w:val="single" w:sz="8" w:space="0" w:color="B0D4E3"/>
            </w:tcBorders>
          </w:tcPr>
          <w:p>
            <w:pPr>
              <w:spacing w:after="80"/>
            </w:pPr>
            <w:r>
              <w:rPr>
                <w:rFonts w:ascii="Arial" w:hAnsi="Arial"/>
                <w:b/>
                <w:color w:val="333333"/>
                <w:sz w:val="20"/>
              </w:rPr>
              <w:t>AI-Generated Intelligence Report</w:t>
            </w:r>
          </w:p>
          <w:p>
            <w:pPr>
              <w:spacing w:before="0" w:after="120" w:line="276" w:lineRule="auto"/>
            </w:pPr>
            <w:r>
              <w:rPr>
                <w:rFonts w:ascii="Arial" w:hAnsi="Arial"/>
                <w:color w:val="666666"/>
                <w:sz w:val="16"/>
              </w:rPr>
              <w:t>This report was generated using AI-powered analysis to curate and correlate threat intelligence. Vulnerability and threat actor data are sourced from the intelligence platforms listed in the Resources section above. The analysis identifies threats actively exploited in the wild or targeting the manufacturing, biotech, medical device, clinical, and genomics industries. All CVEs listed have been detected in our environment through automated scanning.</w:t>
            </w:r>
          </w:p>
        </w:tc>
      </w:tr>
    </w:tbl>
    <w:p/>
    <w:p>
      <w:pPr>
        <w:jc w:val="center"/>
      </w:pPr>
      <w:r>
        <w:rPr>
          <w:b/>
          <w:sz w:val="20"/>
        </w:rPr>
        <w:t>Questions or suspicious activity: secops@illumina.com | ServiceNow</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darkreading.com/cyberattacks-data-breaches/ransomware-actors-steal-law-firm-data" TargetMode="External"/><Relationship Id="rId11" Type="http://schemas.openxmlformats.org/officeDocument/2006/relationships/hyperlink" Target="https://www.darkreading.com/threat-intelligence/ai-assisted-exploit-development-scanner-detection" TargetMode="External"/><Relationship Id="rId12" Type="http://schemas.openxmlformats.org/officeDocument/2006/relationships/hyperlink" Target="https://www.darkreading.com/cyberattacks-data-breaches/latin-american-cybercriminals-government-data" TargetMode="External"/><Relationship Id="rId13" Type="http://schemas.openxmlformats.org/officeDocument/2006/relationships/hyperlink" Target="https://www.bleepingcomputer.com/news/security/gpu-mining-malware-spreads-via-seo-poisoning-ai-chatbots/" TargetMode="External"/><Relationship Id="rId14" Type="http://schemas.openxmlformats.org/officeDocument/2006/relationships/hyperlink" Target="https://thehackernews.com/2026/05/glassworm-malware-takedown-disrupts.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