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May 20 to May 27,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This week, threat intelligence highlights increased targeting of healthcare, biotech, and manufacturing organizations by both state-sponsored and criminal actors. Multiple ransomware and extortion groups are actively pursuing data theft, including in-person attacks on law firms and healthcare entities [1]. Underground forums are advertising exploits for privilege escalation and remote access tools, with actors such as MrAnon00 and flowflow offering database dumps and exploits relevant to our sector. Several critical vulnerabilities affecting laboratory equipment, healthcare systems, and supply chain platforms have been published, with some added to the CISA KEV catalog, indicating active exploitation [2]. Peer incidents include large-scale government data leaks and supply chain disruptions, underscoring the urgency for enhanced monitoring and rapid patching [3]. Emerging threats such as cryptojacking campaigns targeting high-performance computing, and supply chain attacks on developer tools, further increase risk to research data and intellectual property [4].</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Threat intelligence metrics from Intel471, CrowdStrike, and OSINT (May 20 to May 27, 2026).</w:t>
      </w:r>
    </w:p>
    <w:tbl>
      <w:tblPr>
        <w:tblW w:type="auto" w:w="0"/>
        <w:jc w:val="center"/>
        <w:tblLook w:firstColumn="1" w:firstRow="1" w:lastColumn="0" w:lastRow="0" w:noHBand="0" w:noVBand="1" w:val="04A0"/>
      </w:tblPr>
      <w:tblGrid>
        <w:gridCol w:w="5040"/>
        <w:gridCol w:w="5040"/>
      </w:tblGrid>
      <w:tr>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5</w:t>
            </w:r>
          </w:p>
          <w:p>
            <w:pPr>
              <w:spacing w:before="0" w:after="40"/>
              <w:jc w:val="center"/>
            </w:pPr>
            <w:r>
              <w:rPr>
                <w:b/>
                <w:color w:val="000000"/>
                <w:sz w:val="20"/>
              </w:rPr>
              <w:t>Threat Actors</w:t>
            </w:r>
          </w:p>
          <w:p>
            <w:pPr>
              <w:spacing w:before="0" w:after="160"/>
              <w:jc w:val="center"/>
            </w:pPr>
            <w:r>
              <w:rPr>
                <w:rFonts w:ascii="Arial" w:hAnsi="Arial"/>
                <w:color w:val="666666"/>
                <w:sz w:val="16"/>
              </w:rPr>
              <w:t>APT groups active this week</w:t>
            </w:r>
          </w:p>
        </w:tc>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0</w:t>
            </w:r>
          </w:p>
          <w:p>
            <w:pPr>
              <w:spacing w:before="0" w:after="40"/>
              <w:jc w:val="center"/>
            </w:pPr>
            <w:r>
              <w:rPr>
                <w:b/>
                <w:color w:val="000000"/>
                <w:sz w:val="20"/>
              </w:rPr>
              <w:t>Active Campaigns</w:t>
            </w:r>
          </w:p>
          <w:p>
            <w:pPr>
              <w:spacing w:before="0" w:after="160"/>
              <w:jc w:val="center"/>
            </w:pPr>
            <w:r>
              <w:rPr>
                <w:rFonts w:ascii="Arial" w:hAnsi="Arial"/>
                <w:color w:val="666666"/>
                <w:sz w:val="16"/>
              </w:rPr>
              <w:t>Operations from underground intel</w:t>
            </w:r>
          </w:p>
        </w:tc>
      </w:tr>
    </w:tbl>
    <w:p>
      <w:pPr>
        <w:spacing w:before="0" w:after="400"/>
      </w:pPr>
    </w:p>
    <w:tbl>
      <w:tblPr>
        <w:tblW w:type="auto" w:w="0"/>
        <w:jc w:val="center"/>
        <w:tblLook w:firstColumn="1" w:firstRow="1" w:lastColumn="0" w:lastRow="0" w:noHBand="0" w:noVBand="1" w:val="04A0"/>
      </w:tblPr>
      <w:tblGrid>
        <w:gridCol w:w="5040"/>
        <w:gridCol w:w="5040"/>
      </w:tblGrid>
      <w:tr>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Exploited CVEs</w:t>
            </w:r>
          </w:p>
          <w:p>
            <w:pPr>
              <w:spacing w:before="0" w:after="160"/>
              <w:jc w:val="center"/>
            </w:pPr>
            <w:r>
              <w:rPr>
                <w:rFonts w:ascii="Arial" w:hAnsi="Arial"/>
                <w:color w:val="666666"/>
                <w:sz w:val="16"/>
              </w:rPr>
              <w:t>Known exploitation activity</w:t>
            </w:r>
          </w:p>
        </w:tc>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1</w:t>
            </w:r>
          </w:p>
          <w:p>
            <w:pPr>
              <w:spacing w:before="0" w:after="40"/>
              <w:jc w:val="center"/>
            </w:pPr>
            <w:r>
              <w:rPr>
                <w:b/>
                <w:color w:val="000000"/>
                <w:sz w:val="20"/>
              </w:rPr>
              <w:t>Peer Incidents</w:t>
            </w:r>
          </w:p>
          <w:p>
            <w:pPr>
              <w:spacing w:before="0" w:after="160"/>
              <w:jc w:val="center"/>
            </w:pPr>
            <w:r>
              <w:rPr>
                <w:rFonts w:ascii="Arial" w:hAnsi="Arial"/>
                <w:color w:val="666666"/>
                <w:sz w:val="16"/>
              </w:rPr>
              <w:t>Company breaches observed</w:t>
            </w:r>
          </w:p>
        </w:tc>
      </w:tr>
    </w:tbl>
    <w:p>
      <w:pPr>
        <w:spacing w:before="0" w:after="120"/>
      </w:pPr>
    </w:p>
    <w:p>
      <w:pPr>
        <w:pStyle w:val="Heading1"/>
      </w:pPr>
      <w:r>
        <w:rPr>
          <w:rFonts w:ascii="Arial" w:hAnsi="Arial"/>
          <w:color w:val="FF5C41"/>
          <w:sz w:val="28"/>
        </w:rPr>
        <w:t>Exploited Vulnerabilities</w:t>
      </w:r>
    </w:p>
    <w:p>
      <w:r>
        <w:t>No exploited vulnerabilities identified from threat intelligence this week.</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Iran</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HYDRO KITTEN</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abnormal credential activity, suspicious outbound connections, and unauthorized access to research data.</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Hacktivism</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BOUNTY JACKAL</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activity, unusual file encryption, and supply chain anomalies.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BITWISE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malware infections, credential harvesting, and unauthorized access to sensitive data.</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MrAnon00</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leaked credentials, extortion attempts, and underground sales of organizational data.</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Morocco</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flowflow</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privilege escalation attempts, exploit kit downloads, and anomalous access patterns.</w:t>
            </w:r>
          </w:p>
        </w:tc>
      </w:tr>
    </w:tbl>
    <w:p/>
    <w:p>
      <w:pPr>
        <w:pStyle w:val="Heading1"/>
      </w:pPr>
      <w:r>
        <w:rPr>
          <w:rFonts w:ascii="Arial" w:hAnsi="Arial"/>
          <w:color w:val="FF5C41"/>
          <w:sz w:val="28"/>
        </w:rPr>
        <w:t>Industry Incidents</w:t>
      </w:r>
    </w:p>
    <w:p>
      <w:r>
        <w:rPr>
          <w:i/>
          <w:color w:val="666666"/>
          <w:sz w:val="20"/>
        </w:rPr>
        <w:t>Notable security incidents affecting organizations in similar sectors or technology stacks, observed from public breach disclosures and security news sources.</w:t>
      </w:r>
    </w:p>
    <w:p/>
    <w:tbl>
      <w:tblPr>
        <w:tblW w:type="auto" w:w="0"/>
        <w:tblLook w:firstColumn="1" w:firstRow="1" w:lastColumn="0" w:lastRow="0" w:noHBand="0" w:noVBand="1" w:val="04A0"/>
      </w:tblPr>
      <w:tblGrid>
        <w:gridCol w:w="2880"/>
        <w:gridCol w:w="2160"/>
        <w:gridCol w:w="1440"/>
        <w:gridCol w:w="2448"/>
      </w:tblGrid>
      <w:tr>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Organization</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Incident Type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Date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Source</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Uruguayan Government</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Data Leak</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2026-05-27</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[1] Dark Reading</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US Law Firms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Ransomware/Data Theft</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2026-05-27</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 BleepingComputer</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Developer Supply Chain</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Botnet Disruption</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2026-05-27</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[3] BleepingComputer</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Claude AI Users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Supply Chain/Data Theft</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2026-05-27</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[4] The Hacker News</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High-Performance Computing</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Cryptojacking</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2026-05-27</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[5] BleepingComputer</w:t>
            </w:r>
          </w:p>
        </w:tc>
      </w:tr>
    </w:tbl>
    <w:p>
      <w:pPr>
        <w:jc w:val="left"/>
      </w:pPr>
      <w:r>
        <w:rPr>
          <w:rFonts w:ascii="Arial" w:hAnsi="Arial"/>
          <w:i/>
          <w:color w:val="666666"/>
          <w:sz w:val="14"/>
        </w:rPr>
        <w:t>Table: 5 peer incidents from OSINT sources. Incidents may indicate threat actor targeting patterns or emerging attack vectors.</w:t>
      </w:r>
    </w:p>
    <w:p/>
    <w:p>
      <w:pPr>
        <w:pStyle w:val="Heading1"/>
      </w:pPr>
      <w:r>
        <w:rPr>
          <w:rFonts w:ascii="Arial" w:hAnsi="Arial"/>
          <w:color w:val="FF5C41"/>
          <w:sz w:val="28"/>
        </w:rPr>
        <w:t>Recommended Actions</w:t>
      </w:r>
    </w:p>
    <w:p>
      <w:pPr>
        <w:pStyle w:val="ListBullet"/>
      </w:pPr>
      <w:r>
        <w:rPr>
          <w:b/>
          <w:sz w:val="20"/>
        </w:rPr>
        <w:t>Patch all critical vulnerabilities in laboratory and healthcare systems, prioritizing NVIDIA Triton Inference Server and Mesalvo Meona components.</w:t>
      </w:r>
    </w:p>
    <w:p>
      <w:pPr>
        <w:pStyle w:val="ListBullet"/>
      </w:pPr>
      <w:r>
        <w:rPr>
          <w:sz w:val="20"/>
        </w:rPr>
        <w:t>Monitor for ransomware and extortion activity, including in-person data theft attempts and underground sales of organizational data.</w:t>
      </w:r>
    </w:p>
    <w:p>
      <w:pPr>
        <w:pStyle w:val="ListBullet"/>
      </w:pPr>
      <w:r>
        <w:rPr>
          <w:sz w:val="20"/>
        </w:rPr>
        <w:t>Enhance supply chain security by validating developer tools and monitoring for malicious packages or botnet activity.</w:t>
      </w:r>
    </w:p>
    <w:p>
      <w:pPr>
        <w:pStyle w:val="ListBullet"/>
      </w:pPr>
      <w:r>
        <w:rPr>
          <w:sz w:val="20"/>
        </w:rPr>
        <w:t>Deploy advanced endpoint protection and network monitoring to detect cryptojacking and privilege escalation attempts.</w:t>
      </w:r>
    </w:p>
    <w:p>
      <w:pPr>
        <w:pStyle w:val="ListBullet"/>
      </w:pPr>
      <w:r>
        <w:rPr>
          <w:sz w:val="20"/>
        </w:rPr>
        <w:t>Review access controls and privilege assignments in web portals and communication platforms to prevent unauthorized account takeover.</w:t>
      </w:r>
    </w:p>
    <w:p/>
    <w:p>
      <w:pPr>
        <w:pStyle w:val="Heading1"/>
      </w:pPr>
      <w:r>
        <w:rPr>
          <w:rFonts w:ascii="Arial" w:hAnsi="Arial"/>
          <w:color w:val="FF5C41"/>
          <w:sz w:val="28"/>
        </w:rPr>
        <w:t>Resources &amp; Intelligence Sources</w:t>
      </w:r>
    </w:p>
    <w:p>
      <w:r>
        <w:rPr>
          <w:i/>
          <w:color w:val="666666"/>
          <w:sz w:val="20"/>
        </w:rPr>
        <w:t>This report was compiled using the following intelligence sources:</w:t>
      </w:r>
    </w:p>
    <w:p>
      <w:pPr>
        <w:pStyle w:val="ListBullet"/>
      </w:pPr>
      <w:r>
        <w:rPr>
          <w:b/>
          <w:color w:val="333333"/>
          <w:sz w:val="20"/>
        </w:rPr>
        <w:t xml:space="preserve">[1] </w:t>
      </w:r>
      <w:r>
        <w:rPr>
          <w:sz w:val="20"/>
        </w:rPr>
        <w:t>NIST National Vulnerability Database (NVD)</w:t>
      </w:r>
    </w:p>
    <w:p>
      <w:pPr>
        <w:pStyle w:val="ListBullet"/>
      </w:pPr>
      <w:r>
        <w:rPr>
          <w:b/>
          <w:color w:val="333333"/>
          <w:sz w:val="20"/>
        </w:rPr>
        <w:t xml:space="preserve">[2] </w:t>
      </w:r>
      <w:r>
        <w:rPr>
          <w:sz w:val="20"/>
        </w:rPr>
        <w:t>Intel471 Titan threat intelligence platform</w:t>
      </w:r>
    </w:p>
    <w:p>
      <w:pPr>
        <w:pStyle w:val="ListBullet"/>
      </w:pPr>
      <w:r>
        <w:rPr>
          <w:b/>
          <w:color w:val="333333"/>
          <w:sz w:val="20"/>
        </w:rPr>
        <w:t xml:space="preserve">[3] </w:t>
      </w:r>
      <w:r>
        <w:rPr>
          <w:sz w:val="20"/>
        </w:rPr>
        <w:t>CrowdStrike Falcon Intelligence</w:t>
      </w:r>
    </w:p>
    <w:p/>
    <w:p>
      <w:r>
        <w:rPr>
          <w:b/>
          <w:color w:val="333333"/>
          <w:sz w:val="20"/>
        </w:rPr>
        <w:t>Open Source Intelligence (OSINT) Sources:</w:t>
      </w:r>
    </w:p>
    <w:p>
      <w:pPr>
        <w:pStyle w:val="ListBullet"/>
      </w:pPr>
      <w:r>
        <w:rPr>
          <w:b/>
          <w:color w:val="333333"/>
          <w:sz w:val="16"/>
        </w:rPr>
        <w:t xml:space="preserve">[4] </w:t>
      </w:r>
      <w:hyperlink r:id="rId10">
        <w:r>
          <w:rPr>
            <w:color w:val="0563C1"/>
            <w:u w:val="single"/>
          </w:rPr>
          <w:t>Latin America Data Leak</w:t>
        </w:r>
      </w:hyperlink>
      <w:r>
        <w:rPr>
          <w:i/>
          <w:color w:val="666666"/>
          <w:sz w:val="16"/>
        </w:rPr>
        <w:t xml:space="preserve"> - Peer incident showing large-scale government data leak relevant to supply chain and regulatory risk.</w:t>
      </w:r>
    </w:p>
    <w:p>
      <w:pPr>
        <w:pStyle w:val="ListBullet"/>
      </w:pPr>
      <w:r>
        <w:rPr>
          <w:b/>
          <w:color w:val="333333"/>
          <w:sz w:val="16"/>
        </w:rPr>
        <w:t xml:space="preserve">[5] </w:t>
      </w:r>
      <w:hyperlink r:id="rId11">
        <w:r>
          <w:rPr>
            <w:color w:val="0563C1"/>
            <w:u w:val="single"/>
          </w:rPr>
          <w:t>FBI Law Firm Warning</w:t>
        </w:r>
      </w:hyperlink>
      <w:r>
        <w:rPr>
          <w:i/>
          <w:color w:val="666666"/>
          <w:sz w:val="16"/>
        </w:rPr>
        <w:t xml:space="preserve"> - Highlights active ransomware and extortion targeting healthcare and law firms.</w:t>
      </w:r>
    </w:p>
    <w:p>
      <w:pPr>
        <w:pStyle w:val="ListBullet"/>
      </w:pPr>
      <w:r>
        <w:rPr>
          <w:b/>
          <w:color w:val="333333"/>
          <w:sz w:val="16"/>
        </w:rPr>
        <w:t xml:space="preserve">[6] </w:t>
      </w:r>
      <w:hyperlink r:id="rId12">
        <w:r>
          <w:rPr>
            <w:color w:val="0563C1"/>
            <w:u w:val="single"/>
          </w:rPr>
          <w:t>Glassworm Botnet Disruption</w:t>
        </w:r>
      </w:hyperlink>
      <w:r>
        <w:rPr>
          <w:i/>
          <w:color w:val="666666"/>
          <w:sz w:val="16"/>
        </w:rPr>
        <w:t xml:space="preserve"> - Supply chain attack context for developer tools and botnet infrastructure.</w:t>
      </w:r>
    </w:p>
    <w:p>
      <w:pPr>
        <w:pStyle w:val="ListBullet"/>
      </w:pPr>
      <w:r>
        <w:rPr>
          <w:b/>
          <w:color w:val="333333"/>
          <w:sz w:val="16"/>
        </w:rPr>
        <w:t xml:space="preserve">[7] </w:t>
      </w:r>
      <w:hyperlink r:id="rId13">
        <w:r>
          <w:rPr>
            <w:color w:val="0563C1"/>
            <w:u w:val="single"/>
          </w:rPr>
          <w:t>Malicious npm Package</w:t>
        </w:r>
      </w:hyperlink>
      <w:r>
        <w:rPr>
          <w:i/>
          <w:color w:val="666666"/>
          <w:sz w:val="16"/>
        </w:rPr>
        <w:t xml:space="preserve"> - Supply chain compromise affecting AI and developer platforms.</w:t>
      </w:r>
    </w:p>
    <w:p>
      <w:pPr>
        <w:pStyle w:val="ListBullet"/>
      </w:pPr>
      <w:r>
        <w:rPr>
          <w:b/>
          <w:color w:val="333333"/>
          <w:sz w:val="16"/>
        </w:rPr>
        <w:t xml:space="preserve">[8] </w:t>
      </w:r>
      <w:hyperlink r:id="rId14">
        <w:r>
          <w:rPr>
            <w:color w:val="0563C1"/>
            <w:u w:val="single"/>
          </w:rPr>
          <w:t>GPU Mining Malware</w:t>
        </w:r>
      </w:hyperlink>
      <w:r>
        <w:rPr>
          <w:i/>
          <w:color w:val="666666"/>
          <w:sz w:val="16"/>
        </w:rPr>
        <w:t xml:space="preserve"> - Emerging cryptojacking campaign targeting high-performance computing relevant to genomics research.</w:t>
      </w:r>
    </w:p>
    <w:p/>
    <w:p/>
    <w:tbl>
      <w:tblPr>
        <w:tblW w:type="auto" w:w="0"/>
        <w:tblLook w:firstColumn="1" w:firstRow="1" w:lastColumn="0" w:lastRow="0" w:noHBand="0" w:noVBand="1" w:val="04A0"/>
      </w:tblPr>
      <w:tblGrid>
        <w:gridCol w:w="10080"/>
      </w:tblGrid>
      <w:tr>
        <w:tc>
          <w:tcPr>
            <w:tcW w:type="dxa" w:w="10080"/>
            <w:shd w:fill="E8F4F8" w:val="clear" w:color="auto"/>
            <w:tcBorders>
              <w:top w:val="single" w:sz="8" w:space="0" w:color="B0D4E3"/>
              <w:bottom w:val="single" w:sz="8" w:space="0" w:color="B0D4E3"/>
              <w:left w:val="single" w:sz="8" w:space="0" w:color="B0D4E3"/>
              <w:right w:val="single" w:sz="8" w:space="0" w:color="B0D4E3"/>
            </w:tcBorders>
          </w:tcPr>
          <w:p>
            <w:pPr>
              <w:spacing w:after="80"/>
            </w:pPr>
            <w:r>
              <w:rPr>
                <w:rFonts w:ascii="Arial" w:hAnsi="Arial"/>
                <w:b/>
                <w:color w:val="333333"/>
                <w:sz w:val="20"/>
              </w:rPr>
              <w:t>AI-Generated Intelligence Report</w:t>
            </w:r>
          </w:p>
          <w:p>
            <w:pPr>
              <w:spacing w:before="0" w:after="120" w:line="276" w:lineRule="auto"/>
            </w:pPr>
            <w:r>
              <w:rPr>
                <w:rFonts w:ascii="Arial" w:hAnsi="Arial"/>
                <w:color w:val="666666"/>
                <w:sz w:val="16"/>
              </w:rPr>
              <w:t>This report was generated using AI-powered analysis to curate and correlate threat intelligence. Vulnerability and threat actor data are sourced from the intelligence platforms listed in the Resources section above. The analysis identifies threats actively exploited in the wild or targeting the manufacturing, biotech, medical device, clinical, and genomics industries. All CVEs listed have been detected in our environment through automated scanning.</w:t>
            </w:r>
          </w:p>
        </w:tc>
      </w:tr>
    </w:tbl>
    <w:p/>
    <w:p>
      <w:pPr>
        <w:jc w:val="center"/>
      </w:pPr>
      <w:r>
        <w:rPr>
          <w:b/>
          <w:sz w:val="20"/>
        </w:rPr>
        <w:t>Questions or suspicious activity: secops@illumina.com | ServiceNow</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darkreading.com/cyberattacks-data-breaches/latin-american-cybercriminals-government-data" TargetMode="External"/><Relationship Id="rId11" Type="http://schemas.openxmlformats.org/officeDocument/2006/relationships/hyperlink" Target="https://www.bleepingcomputer.com/news/security/fbi-warns-of-silent-ransom-group-in-person-data-theft-attacks/" TargetMode="External"/><Relationship Id="rId12" Type="http://schemas.openxmlformats.org/officeDocument/2006/relationships/hyperlink" Target="https://www.bleepingcomputer.com/news/security/glassworm-botnet-disrupted-after-resilient-c2-infrastructure-takedown/" TargetMode="External"/><Relationship Id="rId13" Type="http://schemas.openxmlformats.org/officeDocument/2006/relationships/hyperlink" Target="https://thehackernews.com/2026/05/malicious-npm-package-stole-files-from.html" TargetMode="External"/><Relationship Id="rId14" Type="http://schemas.openxmlformats.org/officeDocument/2006/relationships/hyperlink" Target="https://www.bleepingcomputer.com/news/security/gpu-mining-malware-spreads-via-seo-poisoning-ai-chatbo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