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C5D35" w:rsidRPr="008C5D35" w:rsidRDefault="008C5D35" w:rsidP="008C5D35">
      <w:pPr>
        <w:shd w:val="clear" w:color="auto" w:fill="FFFFFF"/>
        <w:spacing w:after="75" w:line="330" w:lineRule="atLeast"/>
        <w:outlineLvl w:val="1"/>
        <w:rPr>
          <w:rFonts w:ascii="PT Serif" w:eastAsia="Times New Roman" w:hAnsi="PT Serif" w:cs="Tahoma"/>
          <w:b/>
          <w:color w:val="373737"/>
          <w:kern w:val="36"/>
          <w:sz w:val="24"/>
          <w:szCs w:val="24"/>
          <w:lang w:eastAsia="ru-RU"/>
        </w:rPr>
      </w:pPr>
      <w:r w:rsidRPr="008C5D35">
        <w:rPr>
          <w:rFonts w:ascii="PT Serif" w:eastAsia="Times New Roman" w:hAnsi="PT Serif" w:cs="Tahoma"/>
          <w:b/>
          <w:color w:val="373737"/>
          <w:kern w:val="36"/>
          <w:sz w:val="24"/>
          <w:szCs w:val="24"/>
          <w:lang w:eastAsia="ru-RU"/>
        </w:rPr>
        <w:t>Приказ Министерства транспорта Российской Федерации (Минтранс России) от 17</w:t>
      </w:r>
      <w:r>
        <w:rPr>
          <w:rFonts w:ascii="PT Serif" w:eastAsia="Times New Roman" w:hAnsi="PT Serif" w:cs="Tahoma"/>
          <w:b/>
          <w:color w:val="373737"/>
          <w:kern w:val="36"/>
          <w:sz w:val="24"/>
          <w:szCs w:val="24"/>
          <w:lang w:eastAsia="ru-RU"/>
        </w:rPr>
        <w:t xml:space="preserve"> августа 2012 г. N 313 </w:t>
      </w:r>
      <w:bookmarkStart w:id="0" w:name="_GoBack"/>
      <w:bookmarkEnd w:id="0"/>
    </w:p>
    <w:p w:rsidR="008C5D35" w:rsidRPr="008C5D35" w:rsidRDefault="008C5D35" w:rsidP="008C5D35">
      <w:pPr>
        <w:shd w:val="clear" w:color="auto" w:fill="FFFFFF"/>
        <w:spacing w:after="0" w:line="225" w:lineRule="atLeast"/>
        <w:outlineLvl w:val="2"/>
        <w:rPr>
          <w:rFonts w:ascii="PT Serif" w:eastAsia="Times New Roman" w:hAnsi="PT Serif" w:cs="Tahoma"/>
          <w:b/>
          <w:color w:val="373737"/>
          <w:sz w:val="23"/>
          <w:szCs w:val="23"/>
          <w:lang w:eastAsia="ru-RU"/>
        </w:rPr>
      </w:pPr>
      <w:r w:rsidRPr="008C5D35">
        <w:rPr>
          <w:rFonts w:ascii="PT Serif" w:eastAsia="Times New Roman" w:hAnsi="PT Serif" w:cs="Tahoma"/>
          <w:b/>
          <w:color w:val="373737"/>
          <w:sz w:val="23"/>
          <w:szCs w:val="23"/>
          <w:lang w:eastAsia="ru-RU"/>
        </w:rPr>
        <w:t xml:space="preserve">"Об утверждении Порядка и условий выдачи разрешения на переход судна или иного плавучего объекта к месту устранения выявленных нарушений" </w:t>
      </w:r>
    </w:p>
    <w:p w:rsidR="008C5D35" w:rsidRPr="008C5D35" w:rsidRDefault="008C5D35" w:rsidP="008C5D35">
      <w:pPr>
        <w:shd w:val="clear" w:color="auto" w:fill="FFFFFF"/>
        <w:spacing w:after="0" w:line="240" w:lineRule="atLeast"/>
        <w:rPr>
          <w:rFonts w:ascii="Tahoma" w:eastAsia="Times New Roman" w:hAnsi="Tahoma" w:cs="Tahoma"/>
          <w:vanish/>
          <w:color w:val="373737"/>
          <w:sz w:val="17"/>
          <w:szCs w:val="17"/>
          <w:lang w:eastAsia="ru-RU"/>
        </w:rPr>
      </w:pPr>
      <w:r w:rsidRPr="008C5D35">
        <w:rPr>
          <w:rFonts w:ascii="Tahoma" w:eastAsia="Times New Roman" w:hAnsi="Tahoma" w:cs="Tahoma"/>
          <w:vanish/>
          <w:color w:val="B5B5B5"/>
          <w:sz w:val="17"/>
          <w:szCs w:val="17"/>
          <w:lang w:eastAsia="ru-RU"/>
        </w:rPr>
        <w:t>Дата официальной публикации:</w:t>
      </w:r>
      <w:r w:rsidRPr="008C5D35">
        <w:rPr>
          <w:rFonts w:ascii="Tahoma" w:eastAsia="Times New Roman" w:hAnsi="Tahoma" w:cs="Tahoma"/>
          <w:vanish/>
          <w:color w:val="373737"/>
          <w:sz w:val="17"/>
          <w:szCs w:val="17"/>
          <w:lang w:eastAsia="ru-RU"/>
        </w:rPr>
        <w:t>12 октября 2012 г.</w:t>
      </w:r>
    </w:p>
    <w:p w:rsidR="008C5D35" w:rsidRPr="008C5D35" w:rsidRDefault="008C5D35" w:rsidP="008C5D35">
      <w:pPr>
        <w:shd w:val="clear" w:color="auto" w:fill="FFFFFF"/>
        <w:spacing w:after="0" w:line="240" w:lineRule="atLeast"/>
        <w:rPr>
          <w:rFonts w:ascii="Tahoma" w:eastAsia="Times New Roman" w:hAnsi="Tahoma" w:cs="Tahoma"/>
          <w:color w:val="373737"/>
          <w:sz w:val="17"/>
          <w:szCs w:val="17"/>
          <w:lang w:eastAsia="ru-RU"/>
        </w:rPr>
      </w:pPr>
      <w:r w:rsidRPr="008C5D35">
        <w:rPr>
          <w:rFonts w:ascii="Tahoma" w:eastAsia="Times New Roman" w:hAnsi="Tahoma" w:cs="Tahoma"/>
          <w:color w:val="B5B5B5"/>
          <w:sz w:val="17"/>
          <w:szCs w:val="17"/>
          <w:lang w:eastAsia="ru-RU"/>
        </w:rPr>
        <w:t>Опубликовано:</w:t>
      </w:r>
      <w:r w:rsidRPr="008C5D35">
        <w:rPr>
          <w:rFonts w:ascii="Tahoma" w:eastAsia="Times New Roman" w:hAnsi="Tahoma" w:cs="Tahoma"/>
          <w:color w:val="373737"/>
          <w:sz w:val="17"/>
          <w:szCs w:val="17"/>
          <w:lang w:eastAsia="ru-RU"/>
        </w:rPr>
        <w:t xml:space="preserve"> 12 октября 2012 г. в </w:t>
      </w:r>
      <w:hyperlink r:id="rId5" w:history="1">
        <w:r w:rsidRPr="008C5D35">
          <w:rPr>
            <w:rFonts w:ascii="Tahoma" w:eastAsia="Times New Roman" w:hAnsi="Tahoma" w:cs="Tahoma"/>
            <w:color w:val="344A64"/>
            <w:sz w:val="17"/>
            <w:szCs w:val="17"/>
            <w:u w:val="single"/>
            <w:bdr w:val="none" w:sz="0" w:space="0" w:color="auto" w:frame="1"/>
            <w:lang w:eastAsia="ru-RU"/>
          </w:rPr>
          <w:t>"РГ" - Федеральный выпуск №5909</w:t>
        </w:r>
      </w:hyperlink>
      <w:r w:rsidRPr="008C5D35">
        <w:rPr>
          <w:rFonts w:ascii="Tahoma" w:eastAsia="Times New Roman" w:hAnsi="Tahoma" w:cs="Tahoma"/>
          <w:color w:val="373737"/>
          <w:sz w:val="17"/>
          <w:szCs w:val="17"/>
          <w:lang w:eastAsia="ru-RU"/>
        </w:rPr>
        <w:br/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b/>
          <w:bCs/>
          <w:color w:val="373737"/>
          <w:sz w:val="18"/>
          <w:szCs w:val="18"/>
          <w:lang w:eastAsia="ru-RU"/>
        </w:rPr>
        <w:t>Зарегистрирован в Минюсте РФ 2 октября 2012 г.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b/>
          <w:bCs/>
          <w:color w:val="373737"/>
          <w:sz w:val="18"/>
          <w:szCs w:val="18"/>
          <w:lang w:eastAsia="ru-RU"/>
        </w:rPr>
        <w:t>Регистрационный N 25580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В соответствии с пунктом 7 статьи 38 [1] Федерального закона от 7 марта 2001 г. N 24-ФЗ "Кодекс внутреннего водного транспорта Российской Федерации" (Собрание законодательства Российской Федерации, 2001, N 11, ст. 1001; 2003, N 14, ст. 1256, N 27 (ч. 1), ст. 2700; 2004, N 27, ст. 2711; 2006, N 50, ст. 5279, N 52 (ч. 1), ст. 5498;</w:t>
      </w:r>
      <w:proofErr w:type="gramEnd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 2007, N 27, ст. 3213, N 46, ст. 5554, ст. 5557, N 50, ст. 6246; 2008, N 29 (ч. 1), ст. 3418, N 30 (ч. 2), ст. 3616; 2009, N 1, ст. 30, N 18 (ч. 1), ст. 2141, N 29, ст. 3625, N 52 (ч. 1), ст. 6450; 2011, N 15, ст. 2020, N 27, ст. 3880, N 30 (ч. 1), ст. 4577, ст. 4590, ст. 4591, ст. 4594, ст. 4596, N 45, ст. 6333, ст. 6335; 2012, N 18, ст. 2128, N 25, ст. 3268, N 26, ст. 3446, N 31, ст. 4320) </w:t>
      </w:r>
      <w:r w:rsidRPr="008C5D35">
        <w:rPr>
          <w:rFonts w:ascii="Tahoma" w:eastAsia="Times New Roman" w:hAnsi="Tahoma" w:cs="Tahoma"/>
          <w:b/>
          <w:bCs/>
          <w:color w:val="373737"/>
          <w:sz w:val="18"/>
          <w:szCs w:val="18"/>
          <w:lang w:eastAsia="ru-RU"/>
        </w:rPr>
        <w:t>приказываю: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Утвердить прилагаемый Порядок и условия выдачи разрешения на переход судна или иного плавучего объекта к месту устранения выявленных нарушений.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proofErr w:type="spellStart"/>
      <w:r w:rsidRPr="008C5D35">
        <w:rPr>
          <w:rFonts w:ascii="Tahoma" w:eastAsia="Times New Roman" w:hAnsi="Tahoma" w:cs="Tahoma"/>
          <w:b/>
          <w:bCs/>
          <w:color w:val="373737"/>
          <w:sz w:val="18"/>
          <w:szCs w:val="18"/>
          <w:lang w:eastAsia="ru-RU"/>
        </w:rPr>
        <w:t>И.о</w:t>
      </w:r>
      <w:proofErr w:type="spellEnd"/>
      <w:r w:rsidRPr="008C5D35">
        <w:rPr>
          <w:rFonts w:ascii="Tahoma" w:eastAsia="Times New Roman" w:hAnsi="Tahoma" w:cs="Tahoma"/>
          <w:b/>
          <w:bCs/>
          <w:color w:val="373737"/>
          <w:sz w:val="18"/>
          <w:szCs w:val="18"/>
          <w:lang w:eastAsia="ru-RU"/>
        </w:rPr>
        <w:t>. Министра С. Аристов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Порядок и условия выдачи разрешения на переход судна или иного плавучего объекта к месту устранения выявленных нарушений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1. </w:t>
      </w: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Порядок и условия выдачи разрешения на переход судна или иного плавучего объекта к месту устранения выявленных нарушений (далее - Порядок) разработан в соответствии с пунктом 7 статьи 38 </w:t>
      </w: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1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 Федерального закона от 7 марта 2001 г. N 24-ФЗ "Кодекс внутреннего водного транспорта Российской Федерации" </w:t>
      </w: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1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) и устанавливает процедуру и условия выдачи разрешения на переход судна или иного плавучего объекта (далее - судно</w:t>
      </w:r>
      <w:proofErr w:type="gramEnd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) к месту устранения выявленных нарушений обязательных требований (далее - выявленные нарушения), которые не могут быть устранены в месте временного задержания судна.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2. </w:t>
      </w: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Для получения разрешения на переход судна к месту устранения выявленных нарушений (далее - разрешение на переход) капитан судна, судовладелец или представитель судовладельца направляет в адрес инспекции государственного портового контроля заявку на получение разрешения на переход, в которой указывает следующую информацию:</w:t>
      </w:r>
      <w:proofErr w:type="gramEnd"/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название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порт/место регистрации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флаг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тип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позывной сигнал судна (при наличии);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судовладелец судна с указанием его почтового, юридического адреса (при наличии) и контактных телефонов;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грузоподъемность/</w:t>
      </w:r>
      <w:proofErr w:type="spell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пассажировместимость</w:t>
      </w:r>
      <w:proofErr w:type="spellEnd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дата постройки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дата проведения последней проверки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место проведения последней проверки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название организации по классификации и освидетельствованию судов, которая осуществила классификацию и освидетельствование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фамилия, имя, отчество (при наличии) капитана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список выявленных нарушений, которые не могут быть устранены в месте временного задержания судна;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место, где будет производиться устранение выявленных нарушений;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способы устранения выявленных нарушений;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название и реквизиты организации, которая будет производить устранение выявленных нарушений;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предполагаемое время, необходимое для осуществления перехода судна или иного плавучего объекта к месту, где будет производиться устранение выявленных нарушений.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К указанной заявке должны быть приложены: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заключение от организации по классификации и освидетельствованию судов, которая осуществила классификацию и освидетельствование судна, о том, что техническое состояние судна позволяет осуществить переход судна к месту устранения выявленных нарушений и о дополнительных мерах, которые должны быть предприняты на судне до начала перехода;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подтверждение от организации, которая будет производить устранение выявленных нарушений, которые не могут быть устранены в месте временного задержания судна, о том, что эта организация обладает необходимыми материально-техническими ресурсами, лицензиями и иными предусмотренными законодательством Российской Федерации разрешениями на проведение ремонтных работ и может устранить указанные выявленные нарушения.</w:t>
      </w:r>
      <w:proofErr w:type="gramEnd"/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3. Указанная заявка рассматривается не позднее следующего рабочего дня с момента ее получения, после чего лицом, осуществляющим государственный портовый контроль, принимается решение о выдаче или об отказе в выдаче разрешения на переход. Капитан судна, судовладелец или представитель судовладельца информируются лицом, осуществляющим государственный портовый контроль, о выдаче или об отказе в выдаче разрешения на переход в день принятия соответствующего решения.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4. Лицом, осуществляющим государственный портовый контроль, принимается решение о выдаче разрешения на переход к месту устранения выявленных нарушений, если такой переход не создает непосредственную угрозу причинения вреда жизни, здоровью людей, окружающей среде либо препятствий судоходству </w:t>
      </w: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2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).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В случае если принято решение о выдаче разрешения на переход, разрешение оформляется в письменном виде с указанием даты выдачи разрешения на переход, фамилии, имени и отчества (при наличии) лица, осуществляющего государственный портовый контроль, принявшего решение о выдаче разрешения на переход, и подписывается лицом, осуществляющим государственный портовый контроль, принявшим решение о выдаче разрешения на переход.</w:t>
      </w:r>
      <w:proofErr w:type="gramEnd"/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5. Лицом, осуществляющим государственный портовый контроль, принимается решение об отказе в выдаче разрешения на переход в следующих случаях: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к заявке не приложены документы, указанные в пункте 2 настоящего Порядка;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заключение организации по классификации и освидетельствованию судов, которая осуществила классификацию и освидетельствование судна, не содержит сведений о возможности осуществления перехода судна к месту устранения выявленных нарушений.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6. В случае если принято решение об отказе в выдаче разрешения на переход, в адрес капитана судна, судовладельца или представителя судовладельца в письменном виде направляется информация о причинах отказа в выдаче разрешения на переход.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1</w:t>
      </w:r>
      <w:proofErr w:type="gramStart"/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 xml:space="preserve"> 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>)</w:t>
      </w:r>
      <w:proofErr w:type="gramEnd"/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 Собрание законодательства Российской Федерации, 2001, N 11, ст. 1001; 2003, N 14, ст. 1256, N 27 (ч.1), ст. 2700; 2004, N 27, ст. 2711; 2006, N 50, ст. 5279, N 52 (ч. 1), ст. 5498; 2007, N 27, ст. 3213, N 46, ст. 5554, ст. 5557, N 50, ст. 6246; 2008, N 29 (ч. 1), ст. 3418, N 30 (ч. 2), ст. 3616; 2009, N 1, ст. 30, N 18 (ч. 1), ст. 2141, N 29, ст. 3625, N 52 (ч. 1), ст. 6450; 2011, N 15, ст. 2020, N 27, ст. 3880, N 30 (ч. 1), ст. 4577, ст. 4590, ст. 4591, ст. 4594, ст. 4596 N 45, ст. 6333, ст. 6335; 2012, N 18, ст. 2128, N 25, ст. 3268, N 26, ст. 3446, N 31, ст. 4320.</w:t>
      </w:r>
    </w:p>
    <w:p w:rsidR="008C5D35" w:rsidRPr="008C5D35" w:rsidRDefault="008C5D35" w:rsidP="008C5D35">
      <w:pPr>
        <w:shd w:val="clear" w:color="auto" w:fill="FFFFFF"/>
        <w:spacing w:before="240" w:after="240" w:line="300" w:lineRule="atLeast"/>
        <w:ind w:left="840"/>
        <w:rPr>
          <w:rFonts w:ascii="Tahoma" w:eastAsia="Times New Roman" w:hAnsi="Tahoma" w:cs="Tahoma"/>
          <w:color w:val="373737"/>
          <w:sz w:val="18"/>
          <w:szCs w:val="18"/>
          <w:lang w:eastAsia="ru-RU"/>
        </w:rPr>
      </w:pP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2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) В соответствии с пунктом 7 статьи 38 </w:t>
      </w:r>
      <w:r w:rsidRPr="008C5D35">
        <w:rPr>
          <w:rFonts w:ascii="Tahoma" w:eastAsia="Times New Roman" w:hAnsi="Tahoma" w:cs="Tahoma"/>
          <w:color w:val="373737"/>
          <w:sz w:val="18"/>
          <w:szCs w:val="18"/>
          <w:vertAlign w:val="superscript"/>
          <w:lang w:eastAsia="ru-RU"/>
        </w:rPr>
        <w:t>1</w:t>
      </w:r>
      <w:r w:rsidRPr="008C5D35">
        <w:rPr>
          <w:rFonts w:ascii="Tahoma" w:eastAsia="Times New Roman" w:hAnsi="Tahoma" w:cs="Tahoma"/>
          <w:color w:val="373737"/>
          <w:sz w:val="18"/>
          <w:szCs w:val="18"/>
          <w:lang w:eastAsia="ru-RU"/>
        </w:rPr>
        <w:t xml:space="preserve"> Федерального закона от 7 марта 2001 г. N 24-ФЗ "Кодекс внутреннего водного транспорта Российской Федерации".</w:t>
      </w:r>
    </w:p>
    <w:p w:rsidR="006A6FF0" w:rsidRDefault="006A6FF0"/>
    <w:sectPr w:rsidR="006A6FF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PT Serif">
    <w:altName w:val="Times New Roman"/>
    <w:charset w:val="00"/>
    <w:family w:val="auto"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C5D35"/>
    <w:rsid w:val="006A6FF0"/>
    <w:rsid w:val="008C5D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3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8C5D3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8C5D3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24301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678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4791736">
              <w:marLeft w:val="0"/>
              <w:marRight w:val="0"/>
              <w:marTop w:val="0"/>
              <w:marBottom w:val="150"/>
              <w:divBdr>
                <w:top w:val="single" w:sz="2" w:space="0" w:color="808080"/>
                <w:left w:val="single" w:sz="2" w:space="0" w:color="808080"/>
                <w:bottom w:val="single" w:sz="2" w:space="0" w:color="808080"/>
                <w:right w:val="single" w:sz="2" w:space="0" w:color="808080"/>
              </w:divBdr>
              <w:divsChild>
                <w:div w:id="1443451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5421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550642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7985709">
                      <w:marLeft w:val="24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604023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53584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58487358">
                                  <w:marLeft w:val="0"/>
                                  <w:marRight w:val="0"/>
                                  <w:marTop w:val="0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4018416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98672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dotted" w:sz="6" w:space="4" w:color="555555"/>
                                        <w:left w:val="dotted" w:sz="6" w:space="4" w:color="555555"/>
                                        <w:bottom w:val="dotted" w:sz="6" w:space="4" w:color="555555"/>
                                        <w:right w:val="dotted" w:sz="6" w:space="4" w:color="555555"/>
                                      </w:divBdr>
                                      <w:divsChild>
                                        <w:div w:id="1201473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7783260">
                                  <w:marLeft w:val="0"/>
                                  <w:marRight w:val="0"/>
                                  <w:marTop w:val="75"/>
                                  <w:marBottom w:val="75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  <w:div w:id="342388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479495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760743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://www.rg.ru/gazeta/rg/2012/10/12.html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1017</Words>
  <Characters>5798</Characters>
  <Application>Microsoft Office Word</Application>
  <DocSecurity>0</DocSecurity>
  <Lines>48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Админ</dc:creator>
  <cp:lastModifiedBy>Админ</cp:lastModifiedBy>
  <cp:revision>1</cp:revision>
  <dcterms:created xsi:type="dcterms:W3CDTF">2012-10-12T06:03:00Z</dcterms:created>
  <dcterms:modified xsi:type="dcterms:W3CDTF">2012-10-12T06:08:00Z</dcterms:modified>
</cp:coreProperties>
</file>