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8D" w:rsidRDefault="00A76F23" w:rsidP="0088278D">
      <w:pPr>
        <w:tabs>
          <w:tab w:val="left" w:pos="4560"/>
          <w:tab w:val="left" w:pos="5385"/>
        </w:tabs>
      </w:pPr>
      <w:r>
        <w:t xml:space="preserve">                                                                         </w:t>
      </w:r>
      <w:bookmarkStart w:id="0" w:name="_GoBack"/>
      <w:bookmarkEnd w:id="0"/>
      <w:r>
        <w:t xml:space="preserve">  </w:t>
      </w:r>
      <w:r w:rsidR="0088278D">
        <w:t>Заместителю Министра транспорта</w:t>
      </w:r>
    </w:p>
    <w:p w:rsidR="0088278D" w:rsidRDefault="0088278D" w:rsidP="0088278D">
      <w:pPr>
        <w:tabs>
          <w:tab w:val="left" w:pos="4560"/>
          <w:tab w:val="left" w:pos="5385"/>
        </w:tabs>
      </w:pPr>
      <w:r>
        <w:t xml:space="preserve">                                                                        </w:t>
      </w:r>
      <w:r w:rsidR="00A76F23">
        <w:t xml:space="preserve">  </w:t>
      </w:r>
      <w:r>
        <w:t xml:space="preserve"> Российской Федерации</w:t>
      </w:r>
    </w:p>
    <w:p w:rsidR="0088278D" w:rsidRDefault="0088278D" w:rsidP="0088278D">
      <w:pPr>
        <w:tabs>
          <w:tab w:val="left" w:pos="5385"/>
        </w:tabs>
      </w:pPr>
      <w:r>
        <w:t xml:space="preserve">                                                                        </w:t>
      </w:r>
      <w:r w:rsidR="00A76F23">
        <w:t xml:space="preserve">   </w:t>
      </w:r>
      <w:r>
        <w:t xml:space="preserve">В. А.  </w:t>
      </w:r>
      <w:proofErr w:type="spellStart"/>
      <w:r>
        <w:t>Олерскому</w:t>
      </w:r>
      <w:proofErr w:type="spellEnd"/>
      <w:r>
        <w:t xml:space="preserve"> </w:t>
      </w:r>
    </w:p>
    <w:p w:rsidR="0088278D" w:rsidRDefault="0088278D" w:rsidP="0088278D">
      <w:pPr>
        <w:tabs>
          <w:tab w:val="left" w:pos="5385"/>
        </w:tabs>
      </w:pPr>
      <w:r>
        <w:t xml:space="preserve">                                                                                              .</w:t>
      </w:r>
    </w:p>
    <w:p w:rsidR="0088278D" w:rsidRDefault="0088278D" w:rsidP="0088278D">
      <w:r>
        <w:t>Исх. 2-02/40 от 11.02.2015 г.</w:t>
      </w:r>
    </w:p>
    <w:p w:rsidR="0088278D" w:rsidRDefault="0088278D" w:rsidP="0088278D">
      <w:r>
        <w:t xml:space="preserve">                                       Уважаемый Виктор Александрович!</w:t>
      </w:r>
    </w:p>
    <w:p w:rsidR="0088278D" w:rsidRDefault="0088278D" w:rsidP="0088278D"/>
    <w:p w:rsidR="0088278D" w:rsidRDefault="0088278D" w:rsidP="0088278D">
      <w:pPr>
        <w:spacing w:line="480" w:lineRule="auto"/>
        <w:jc w:val="both"/>
      </w:pPr>
      <w:r>
        <w:t xml:space="preserve">    Ассоциация портов и судовладельцев речного транспорта (АПСРТ) просит включить в Перечень первоочередных мероприятий Правительства Российской Федерации по обеспечению устойчивого развития экономики и социальной стабильности, дополнительно вносимых Министерством  транспорта Российской Федерации в соответствии с Распоряжением Правительства Российской Федерации от 27 января 2015 г. №98-р в раздел  II  "Поддержка отраслей экономики"  следующее предложение.     </w:t>
      </w:r>
    </w:p>
    <w:p w:rsidR="0088278D" w:rsidRDefault="0088278D" w:rsidP="0088278D">
      <w:pPr>
        <w:spacing w:line="480" w:lineRule="auto"/>
        <w:jc w:val="both"/>
      </w:pPr>
      <w:r>
        <w:t xml:space="preserve">    Текс предложения   и обосновывающие материалы прилагаются.</w:t>
      </w:r>
    </w:p>
    <w:p w:rsidR="0088278D" w:rsidRDefault="0088278D" w:rsidP="0088278D">
      <w:r>
        <w:t>Приложение на  8 листах.</w:t>
      </w:r>
    </w:p>
    <w:p w:rsidR="0088278D" w:rsidRDefault="0088278D" w:rsidP="0088278D"/>
    <w:p w:rsidR="0088278D" w:rsidRDefault="0088278D" w:rsidP="0088278D">
      <w:r>
        <w:t xml:space="preserve">  Президент                                                                                             А. М. Зайцев</w:t>
      </w:r>
    </w:p>
    <w:p w:rsidR="00244B29" w:rsidRDefault="00244B29"/>
    <w:p w:rsidR="0088278D" w:rsidRDefault="0088278D"/>
    <w:p w:rsidR="0088278D" w:rsidRDefault="0088278D"/>
    <w:p w:rsidR="0088278D" w:rsidRDefault="0088278D"/>
    <w:p w:rsidR="0088278D" w:rsidRDefault="0088278D"/>
    <w:p w:rsidR="0088278D" w:rsidRDefault="0088278D" w:rsidP="0088278D">
      <w:pPr>
        <w:jc w:val="center"/>
        <w:rPr>
          <w:b/>
        </w:rPr>
      </w:pPr>
      <w:r>
        <w:rPr>
          <w:b/>
        </w:rPr>
        <w:lastRenderedPageBreak/>
        <w:t>Финансово-экономическое обоснование предложения по включению в раздел II "Поддержка отраслей экономики" Перечня первоочередных мероприятий по обеспечению устойчивого развития экономики и социальной стабильности, утвержденное распоряжением Правительством Российской Федерации от 27 января 2015 года № 98-р.</w:t>
      </w:r>
    </w:p>
    <w:p w:rsidR="0088278D" w:rsidRDefault="0088278D" w:rsidP="0088278D">
      <w:pPr>
        <w:jc w:val="both"/>
        <w:rPr>
          <w:b/>
        </w:rPr>
      </w:pPr>
      <w:r>
        <w:rPr>
          <w:b/>
        </w:rPr>
        <w:t xml:space="preserve">                       </w:t>
      </w:r>
    </w:p>
    <w:p w:rsidR="0088278D" w:rsidRDefault="0088278D" w:rsidP="0088278D">
      <w:pPr>
        <w:spacing w:line="360" w:lineRule="auto"/>
        <w:jc w:val="both"/>
      </w:pPr>
      <w:r>
        <w:t xml:space="preserve">    Российская Федерация располагает одной их самых протяженных в мире сетью внутренних водных путей – 101,5 тыс. км, по которой ежегодно перевозится около     130 млн. тонн грузов  и    13  млн. пассажиров, работает около  15 тыс. судов. Речной транспорт обслуживает 61 субъект Российской Федерации, а также осуществляет внешнеторговые перевозки.</w:t>
      </w:r>
    </w:p>
    <w:p w:rsidR="0088278D" w:rsidRDefault="0088278D" w:rsidP="0088278D">
      <w:pPr>
        <w:spacing w:line="360" w:lineRule="auto"/>
        <w:jc w:val="both"/>
      </w:pPr>
      <w:r>
        <w:t xml:space="preserve">    Внутренний водный транспорт обладает рядом значимых преимуществ: </w:t>
      </w:r>
    </w:p>
    <w:p w:rsidR="0088278D" w:rsidRDefault="0088278D" w:rsidP="0088278D">
      <w:pPr>
        <w:spacing w:line="360" w:lineRule="auto"/>
        <w:jc w:val="both"/>
      </w:pPr>
      <w:r>
        <w:t xml:space="preserve">- является безопасным и энергосберегающим видом транспорта с низким уровнем загрязнения атмосферы и водной среды; </w:t>
      </w:r>
    </w:p>
    <w:p w:rsidR="0088278D" w:rsidRDefault="0088278D" w:rsidP="0088278D">
      <w:pPr>
        <w:spacing w:line="360" w:lineRule="auto"/>
        <w:jc w:val="both"/>
      </w:pPr>
      <w:r>
        <w:t>- осуществляет основные объемы перевозок грузов и пассажиров в регионах Крайнего Севера, являясь практически безальтернативным и жизнеобеспечивающим;</w:t>
      </w:r>
    </w:p>
    <w:p w:rsidR="0088278D" w:rsidRDefault="0088278D" w:rsidP="0088278D">
      <w:pPr>
        <w:spacing w:line="360" w:lineRule="auto"/>
        <w:jc w:val="both"/>
      </w:pPr>
      <w:r>
        <w:t>- обеспечивает перевозки массовых грузов, прежде всего минерально-строительных, с низкой себестоимостью, а также крупногабаритных грузов, которые невозможно перемещать иными видами транспорта;</w:t>
      </w:r>
    </w:p>
    <w:p w:rsidR="0088278D" w:rsidRDefault="0088278D" w:rsidP="0088278D">
      <w:pPr>
        <w:spacing w:line="360" w:lineRule="auto"/>
        <w:jc w:val="both"/>
      </w:pPr>
      <w:r>
        <w:t>- обладает значительным потенциалом роста.</w:t>
      </w:r>
    </w:p>
    <w:p w:rsidR="0088278D" w:rsidRDefault="0088278D" w:rsidP="0088278D">
      <w:pPr>
        <w:spacing w:line="360" w:lineRule="auto"/>
        <w:jc w:val="both"/>
      </w:pPr>
      <w:r>
        <w:t xml:space="preserve">  В силу российских климатических особенностей работа внутреннего водного транспорта носит ярко выраженный сезонный характер и ограничена сроками открытия и закрытия навигации. Навигационный период в большинстве речных бассейнов составляет 200-250 суток, в районах Крайнего Севера  и Арктики – 100 суток и мене</w:t>
      </w:r>
      <w:proofErr w:type="gramStart"/>
      <w:r>
        <w:t>е(</w:t>
      </w:r>
      <w:proofErr w:type="gramEnd"/>
      <w:r>
        <w:t>экспедиционный завоз).</w:t>
      </w:r>
    </w:p>
    <w:p w:rsidR="0088278D" w:rsidRDefault="0088278D" w:rsidP="0088278D">
      <w:pPr>
        <w:spacing w:line="360" w:lineRule="auto"/>
        <w:jc w:val="both"/>
      </w:pPr>
      <w:r>
        <w:lastRenderedPageBreak/>
        <w:t xml:space="preserve"> По условиям работы организации речного транспорта относятся к сезонному производству и, согласно  постановлению Правительства Российской Федерации от 6 апреля 1999 года № 382 "О перечне сезонных отраслей и видов деятельности, применяемых для целей налогообложения", перевозки пассажиров и грузов, погрузочно-разгрузочные работы на речном транспорте отнесены к сезонным видам деятельности.</w:t>
      </w:r>
    </w:p>
    <w:p w:rsidR="0088278D" w:rsidRDefault="0088278D" w:rsidP="0088278D">
      <w:pPr>
        <w:spacing w:line="360" w:lineRule="auto"/>
        <w:jc w:val="both"/>
      </w:pPr>
      <w:r>
        <w:t xml:space="preserve">   В межнавигационный период флот организаций речного транспорта выводится на зимний отстой, осуществляется ремонт судов,  перегрузочной техники и причалов. Работники плавсостава речных судов в этот период находятся в оплачиваемых отпусках и отгулах за сверхнормативную работу в течение навигации. Перед началом навигации осуществляется снабжение и подготовка флота, в том числе обязательное техническое освидетельствование, закупка топлива. В межнавигационный период услуги по перевозке грузов и пассажиров не осуществляются и, соответственно, отсутствуют финансовые поступления, что приводит к </w:t>
      </w:r>
      <w:proofErr w:type="spellStart"/>
      <w:r>
        <w:t>т.н</w:t>
      </w:r>
      <w:proofErr w:type="gramStart"/>
      <w:r>
        <w:t>."</w:t>
      </w:r>
      <w:proofErr w:type="gramEnd"/>
      <w:r>
        <w:t>кассовому</w:t>
      </w:r>
      <w:proofErr w:type="spellEnd"/>
      <w:r>
        <w:t xml:space="preserve"> разрыву". Удельный вес кредитов в оборотных средствах организаций внутреннего водного транспорта составляет порядка 50 процентов.</w:t>
      </w:r>
    </w:p>
    <w:p w:rsidR="0088278D" w:rsidRDefault="0088278D" w:rsidP="0088278D">
      <w:pPr>
        <w:spacing w:line="360" w:lineRule="auto"/>
        <w:jc w:val="both"/>
      </w:pPr>
      <w:r>
        <w:t xml:space="preserve">    Анализ динамики доходов и расходов организаций речного транспорта показывает, что в межнавигационный период  (сумма значений </w:t>
      </w:r>
      <w:proofErr w:type="gramStart"/>
      <w:r>
        <w:rPr>
          <w:lang w:val="en-US"/>
        </w:rPr>
        <w:t>IV</w:t>
      </w:r>
      <w:proofErr w:type="gramEnd"/>
      <w:r>
        <w:t xml:space="preserve">квартала предыдущего года    и  </w:t>
      </w:r>
      <w:r>
        <w:rPr>
          <w:lang w:val="en-US"/>
        </w:rPr>
        <w:t>I</w:t>
      </w:r>
      <w:r>
        <w:t xml:space="preserve"> квартала текущего года) расходы значительно превышают доходы предприятий. В период навигации увеличиваются расходы на топливо и материалы, а в межнавигационный период на ремонт флота и портового перегрузочного оборудования. Также суммы выплаченной заработной платы в IV и I кварталах отражают сложившуюся систему суммированной выплаты заработной платы за работу в период навигации в выходные дни и сверх нормальной продолжительности рабочего времени (отгулы за период навигации), и не соответствуют реально </w:t>
      </w:r>
      <w:r>
        <w:lastRenderedPageBreak/>
        <w:t xml:space="preserve">начисленной работникам заработной плате в этот период.  </w:t>
      </w:r>
      <w:proofErr w:type="gramStart"/>
      <w:r>
        <w:t>Кроме того, в соответствии с установленными требованиями ст. 324.1 Налогового Кодекса Российской Федерации, недоиспользованные на конец налогового периода суммы резерва подлежат обязательному включению в состав налоговой базы текущего налогового периода.</w:t>
      </w:r>
      <w:proofErr w:type="gramEnd"/>
    </w:p>
    <w:p w:rsidR="0088278D" w:rsidRDefault="0088278D" w:rsidP="0088278D">
      <w:pPr>
        <w:spacing w:line="360" w:lineRule="auto"/>
        <w:jc w:val="both"/>
      </w:pPr>
      <w:r>
        <w:t xml:space="preserve">  В части, касающейся затрат на ремонт флота во II квартале, такие затраты формируются как суммированные расходы по зимнему судоремонту и отражаются в отчетах в зависимости от сроков ввода судов в эксплуатацию. В этой связи существует необходимость списания затрат на оборудования и расходных материалов, использованных при проведении зимнего ремонта судна, непосредственно в срок ввода судна в эксплуатацию.</w:t>
      </w:r>
    </w:p>
    <w:p w:rsidR="0088278D" w:rsidRDefault="0088278D" w:rsidP="0088278D">
      <w:pPr>
        <w:spacing w:line="360" w:lineRule="auto"/>
        <w:jc w:val="both"/>
      </w:pPr>
      <w:r>
        <w:t xml:space="preserve">  Отсутствие государственной поддержки организациям внутреннего водного транспорта приведет к все более возрастающему выводу флота из эксплуатации по причине несвоевременного выполнения ремонта и как следстви</w:t>
      </w:r>
      <w:proofErr w:type="gramStart"/>
      <w:r>
        <w:t>е-</w:t>
      </w:r>
      <w:proofErr w:type="gramEnd"/>
      <w:r>
        <w:t xml:space="preserve"> падению объемов перевозок и сокращению численности работников. При этом необходимо отметить, что в некоторых регионах Российской Федерации организации внутреннего водного транспорта являются градообразующими.</w:t>
      </w:r>
    </w:p>
    <w:p w:rsidR="0088278D" w:rsidRDefault="0088278D" w:rsidP="0088278D">
      <w:pPr>
        <w:spacing w:line="360" w:lineRule="auto"/>
        <w:jc w:val="both"/>
      </w:pPr>
      <w:r>
        <w:t xml:space="preserve">  Ранее Минтрансу России (Государственной службе речного флота) выделялись целевые ассигнования на покрытие кассового разрыва предприятий  внутреннего водного транспорта в межнавигационный период. В последующем организации  самостоятельно финансировали расходы межнавигационного периода за счет формирования в течение навигации в составе себестоимости перевозок финансовых резервов, которые в дальнейшем использовались для возврата краткосрочных кредитов.</w:t>
      </w:r>
    </w:p>
    <w:p w:rsidR="0088278D" w:rsidRDefault="0088278D" w:rsidP="0088278D">
      <w:pPr>
        <w:spacing w:line="360" w:lineRule="auto"/>
        <w:jc w:val="both"/>
      </w:pPr>
      <w:r>
        <w:t xml:space="preserve">  Для устойчивого функционирования организаций внутреннего водного транспорта предлагается взамен многолетней практики выделения прямых </w:t>
      </w:r>
      <w:r>
        <w:lastRenderedPageBreak/>
        <w:t>бюджетных субсидий ввести механизм государственной поддержки – предоставление ежегодных субсидий  из федерального бюджета на возмещение части затрат на уплату процентов по кредитам, полученным в российских кредитных организациях и используемым на осуществление деятельности в межнавигационный период.</w:t>
      </w:r>
    </w:p>
    <w:p w:rsidR="0088278D" w:rsidRDefault="0088278D" w:rsidP="0088278D">
      <w:pPr>
        <w:spacing w:line="360" w:lineRule="auto"/>
        <w:jc w:val="both"/>
      </w:pPr>
      <w:r>
        <w:t xml:space="preserve">  По экспертной оценке и с учетом влияния на финансовое состояние организаций внутреннего водного транспорта роста цен и процентов банковских кредитов, ежегодная потребность организаций внутреннего водного транспорта в кредитных ресурсах по договорам на срок до одного года составляют около 10 млрд. рублей.</w:t>
      </w:r>
    </w:p>
    <w:p w:rsidR="0088278D" w:rsidRDefault="0088278D" w:rsidP="0088278D">
      <w:pPr>
        <w:spacing w:line="360" w:lineRule="auto"/>
        <w:ind w:firstLine="708"/>
        <w:jc w:val="both"/>
      </w:pPr>
      <w:r>
        <w:t>При условии субсидирования из бюджета 2/3 ключевой ставки Банка России, установленной на  2015 год, объём субсидий для  организаций внутреннего водного транспорта составит  около 1 млрд. рублей.</w:t>
      </w:r>
    </w:p>
    <w:p w:rsidR="0088278D" w:rsidRDefault="0088278D" w:rsidP="0088278D">
      <w:pPr>
        <w:spacing w:line="360" w:lineRule="auto"/>
        <w:jc w:val="both"/>
      </w:pPr>
      <w:r>
        <w:tab/>
      </w:r>
      <w:proofErr w:type="gramStart"/>
      <w:r>
        <w:t>Государственная поддержка организаций внутреннего водного транспорта позволит стабилизировать работу в сложившейся экономической обстановке, восстановить транспортное обслуживание самым дешевым и экологически чистым видом транспорта в объемах, необходимых  для устойчивого функционирования экономики субъектов Российской Федерации, в том числе, обеспечить завоз оборудования для обустройства нефтегазовых месторождений, перевозку энергоносителей (нефтепродукты и уголь) в районы Крайнего Севера и приравненные к ним местности, а также в</w:t>
      </w:r>
      <w:proofErr w:type="gramEnd"/>
      <w:r>
        <w:t xml:space="preserve"> труднодоступные районы Арктики, где водный транспорт является безальтернативным и жизнеобеспечивающим видом транспорта. При этом будет создан значительный мультипликационный эффект в смежных отраслях экономики и социальной стабильности.</w:t>
      </w:r>
    </w:p>
    <w:p w:rsidR="0088278D" w:rsidRDefault="0088278D" w:rsidP="0088278D">
      <w:pPr>
        <w:spacing w:line="360" w:lineRule="auto"/>
        <w:jc w:val="both"/>
      </w:pPr>
      <w:r>
        <w:tab/>
        <w:t xml:space="preserve">Отсутствие возможности создания финансовых резервов не позволяет своевременно проводить ремонт, обновление флота и портовой </w:t>
      </w:r>
      <w:r>
        <w:lastRenderedPageBreak/>
        <w:t xml:space="preserve">перегрузочной техники, поскольку средний возраст судов составляет более 30 лет, износ которых – более 90%, портовая перегрузочная техника находится в эксплуатации свыше 40 лет. </w:t>
      </w:r>
    </w:p>
    <w:p w:rsidR="0088278D" w:rsidRDefault="0088278D" w:rsidP="0088278D">
      <w:pPr>
        <w:spacing w:line="360" w:lineRule="auto"/>
        <w:jc w:val="both"/>
      </w:pPr>
      <w:r>
        <w:tab/>
      </w:r>
      <w:proofErr w:type="gramStart"/>
      <w:r>
        <w:t xml:space="preserve">Создание условий, при которых у судоходных компаний появится возможность формирования финансовых резервов на ремонт и строительства флота, повысит конкурентоспособность российских судовладельцев, что особенно важно для реализации Плана первоочередных мероприятий по обеспечению устойчивого развития экономики и социальной стабильности в 2015 году, утвержденного распоряжением Правительства Российской Федерации от 27 января 2015 года №98 –Р. </w:t>
      </w:r>
      <w:proofErr w:type="gramEnd"/>
    </w:p>
    <w:p w:rsidR="0088278D" w:rsidRDefault="0088278D" w:rsidP="0088278D">
      <w:pPr>
        <w:spacing w:line="360" w:lineRule="auto"/>
        <w:jc w:val="both"/>
      </w:pPr>
      <w:r>
        <w:tab/>
        <w:t xml:space="preserve">Увеличение объема перевозок грузов и, как следствие, улучшение финансовых, инвестиционных ресурсов организаций внутреннего водного транспорта, станет непосредственным решением поставленных Правительством Российской Федерацией задач по обеспечению устойчивого развития экономики   и социальной стабильности. </w:t>
      </w:r>
    </w:p>
    <w:p w:rsidR="0088278D" w:rsidRDefault="0088278D" w:rsidP="0088278D">
      <w:pPr>
        <w:spacing w:line="360" w:lineRule="auto"/>
        <w:jc w:val="both"/>
      </w:pPr>
      <w:r>
        <w:tab/>
        <w:t xml:space="preserve">По выполненным расчетам выделения бюджетных ассигнований в размере 1 млрд. рублей в год окажет положительное воздействие на состояние бюджетов всех уровней, так как позволит обеспечить налоговые поступления от организаций внутреннего водного транспорта: </w:t>
      </w:r>
      <w:proofErr w:type="gramStart"/>
      <w:r>
        <w:t>НДС в объеме 2344 млн. руб. (за вычетом сумм возмещения), налог на прибыль – 128 млн. руб., отчисления в социальные фонды – 1833 млн. руб., подоходный налог – не менее 1000 млн. руб.</w:t>
      </w:r>
      <w:proofErr w:type="gramEnd"/>
    </w:p>
    <w:p w:rsidR="0088278D" w:rsidRDefault="0088278D" w:rsidP="0088278D">
      <w:pPr>
        <w:spacing w:line="360" w:lineRule="auto"/>
        <w:jc w:val="both"/>
      </w:pPr>
      <w:r>
        <w:tab/>
        <w:t xml:space="preserve">Реально положение организаций внутреннего водного транспорта и необходимость субсидирования затрат в межнавигационный период приводится в приложении на примере ОАО «Томская судоходная компания». </w:t>
      </w:r>
    </w:p>
    <w:p w:rsidR="0088278D" w:rsidRDefault="0088278D" w:rsidP="0088278D">
      <w:pPr>
        <w:spacing w:line="360" w:lineRule="auto"/>
        <w:jc w:val="both"/>
      </w:pPr>
      <w:r>
        <w:lastRenderedPageBreak/>
        <w:tab/>
        <w:t xml:space="preserve">Рост объемов перевозок внутренним водным транспортом будет также способствовать улучшению экологической ситуации, поскольку он является видом транспорта с более низким уровнем загрязнения атмосферы и воды по сравнению с другими видами транспорта.         </w:t>
      </w:r>
    </w:p>
    <w:p w:rsidR="0088278D" w:rsidRDefault="0088278D" w:rsidP="0088278D">
      <w:pPr>
        <w:jc w:val="center"/>
        <w:rPr>
          <w:b/>
        </w:rPr>
      </w:pPr>
      <w:r>
        <w:tab/>
      </w:r>
      <w:r>
        <w:rPr>
          <w:b/>
        </w:rPr>
        <w:t xml:space="preserve">Планируемые расходы </w:t>
      </w:r>
    </w:p>
    <w:p w:rsidR="0088278D" w:rsidRDefault="0088278D" w:rsidP="0088278D">
      <w:pPr>
        <w:jc w:val="center"/>
        <w:rPr>
          <w:b/>
        </w:rPr>
      </w:pPr>
      <w:r>
        <w:rPr>
          <w:b/>
        </w:rPr>
        <w:t>на подготовку портового хозяйства, судов и перегрузочного техники</w:t>
      </w:r>
    </w:p>
    <w:p w:rsidR="0088278D" w:rsidRDefault="0088278D" w:rsidP="0088278D">
      <w:pPr>
        <w:jc w:val="center"/>
        <w:rPr>
          <w:b/>
        </w:rPr>
      </w:pPr>
      <w:r>
        <w:rPr>
          <w:b/>
        </w:rPr>
        <w:t xml:space="preserve"> ОАО «Томская судоходная компания»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83"/>
        <w:gridCol w:w="1909"/>
        <w:gridCol w:w="1910"/>
        <w:gridCol w:w="1909"/>
      </w:tblGrid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88278D" w:rsidRDefault="008827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/п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Наименование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к-во </w:t>
            </w:r>
          </w:p>
          <w:p w:rsidR="0088278D" w:rsidRDefault="0088278D">
            <w:pPr>
              <w:jc w:val="center"/>
            </w:pPr>
            <w:r>
              <w:t>единиц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Стоимость ремонта единицы</w:t>
            </w:r>
          </w:p>
          <w:p w:rsidR="0088278D" w:rsidRDefault="0088278D">
            <w:pPr>
              <w:jc w:val="center"/>
            </w:pPr>
            <w:r>
              <w:t>тыс. рублей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Общие затраты </w:t>
            </w:r>
          </w:p>
          <w:p w:rsidR="0088278D" w:rsidRDefault="0088278D">
            <w:pPr>
              <w:jc w:val="center"/>
            </w:pPr>
            <w:r>
              <w:t xml:space="preserve">тыс. рублей 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Несамоходные суда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240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300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72000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Самоходные суда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90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1500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135000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Портальные краны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24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500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12000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Плавучие краны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26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26000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Земснаряды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2500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15000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Портовое хозяйство (причалы, склады, подъездные пути)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  <w:p w:rsidR="0088278D" w:rsidRDefault="0088278D">
            <w:pPr>
              <w:jc w:val="center"/>
            </w:pPr>
            <w:r>
              <w:t>1 комплекс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  <w:p w:rsidR="0088278D" w:rsidRDefault="0088278D">
            <w:pPr>
              <w:jc w:val="center"/>
            </w:pPr>
            <w:r>
              <w:t>7000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  <w:p w:rsidR="0088278D" w:rsidRDefault="0088278D">
            <w:pPr>
              <w:jc w:val="center"/>
            </w:pPr>
            <w:r>
              <w:t>7000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Итого расходов: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26700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Планируемые доходы в навигацию 2015 года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1500000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Налоги в бюджеты всех уровней</w:t>
            </w:r>
            <w:proofErr w:type="gramStart"/>
            <w:r>
              <w:t xml:space="preserve">  В</w:t>
            </w:r>
            <w:proofErr w:type="gramEnd"/>
            <w:r>
              <w:t>сего: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345000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 xml:space="preserve">. НДС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127000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На прибыль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10000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На имущество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7000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На землю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4500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На доход физических лиц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58000</w:t>
            </w:r>
          </w:p>
        </w:tc>
      </w:tr>
      <w:tr w:rsidR="0088278D" w:rsidTr="0088278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Отчисления в фонды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142000</w:t>
            </w:r>
          </w:p>
        </w:tc>
      </w:tr>
    </w:tbl>
    <w:p w:rsidR="0088278D" w:rsidRDefault="0088278D" w:rsidP="0088278D">
      <w:pPr>
        <w:jc w:val="center"/>
      </w:pPr>
    </w:p>
    <w:p w:rsidR="0088278D" w:rsidRDefault="0088278D" w:rsidP="0088278D">
      <w:pPr>
        <w:spacing w:line="360" w:lineRule="auto"/>
        <w:jc w:val="both"/>
      </w:pPr>
    </w:p>
    <w:p w:rsidR="0088278D" w:rsidRDefault="0088278D" w:rsidP="0088278D">
      <w:pPr>
        <w:spacing w:line="360" w:lineRule="auto"/>
        <w:jc w:val="both"/>
      </w:pPr>
    </w:p>
    <w:p w:rsidR="0088278D" w:rsidRDefault="0088278D" w:rsidP="0088278D">
      <w:pPr>
        <w:spacing w:line="360" w:lineRule="auto"/>
        <w:jc w:val="both"/>
      </w:pPr>
    </w:p>
    <w:p w:rsidR="0088278D" w:rsidRDefault="0088278D" w:rsidP="0088278D">
      <w:pPr>
        <w:spacing w:line="360" w:lineRule="auto"/>
        <w:jc w:val="both"/>
        <w:sectPr w:rsidR="008827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278D" w:rsidRDefault="0088278D" w:rsidP="0088278D">
      <w:pPr>
        <w:spacing w:line="360" w:lineRule="auto"/>
        <w:jc w:val="both"/>
      </w:pPr>
    </w:p>
    <w:p w:rsidR="0088278D" w:rsidRDefault="0088278D" w:rsidP="0088278D">
      <w:pPr>
        <w:spacing w:line="360" w:lineRule="auto"/>
        <w:jc w:val="both"/>
      </w:pPr>
    </w:p>
    <w:p w:rsidR="0088278D" w:rsidRDefault="0088278D" w:rsidP="0088278D">
      <w:pPr>
        <w:spacing w:line="360" w:lineRule="auto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2268"/>
        <w:gridCol w:w="1275"/>
        <w:gridCol w:w="2835"/>
        <w:gridCol w:w="1712"/>
        <w:gridCol w:w="2760"/>
      </w:tblGrid>
      <w:tr w:rsidR="0088278D" w:rsidTr="0088278D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Наименование</w:t>
            </w:r>
          </w:p>
          <w:p w:rsidR="0088278D" w:rsidRDefault="0088278D">
            <w:pPr>
              <w:jc w:val="center"/>
            </w:pPr>
            <w:r>
              <w:t>мероприятий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Вид документа </w:t>
            </w:r>
          </w:p>
          <w:p w:rsidR="0088278D" w:rsidRDefault="0088278D">
            <w:pPr>
              <w:jc w:val="center"/>
            </w:pPr>
            <w:r>
              <w:t xml:space="preserve">(проект)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Срок 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Ответственные </w:t>
            </w:r>
          </w:p>
          <w:p w:rsidR="0088278D" w:rsidRDefault="0088278D">
            <w:pPr>
              <w:jc w:val="center"/>
            </w:pPr>
            <w:r>
              <w:t xml:space="preserve">исполнители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>Объем финансирования,</w:t>
            </w:r>
          </w:p>
          <w:p w:rsidR="0088278D" w:rsidRDefault="0088278D">
            <w:pPr>
              <w:jc w:val="center"/>
            </w:pPr>
            <w:r>
              <w:t>млрд. рублей (оценка)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</w:pPr>
            <w:r>
              <w:t xml:space="preserve">Ожидаемый результат </w:t>
            </w:r>
          </w:p>
        </w:tc>
      </w:tr>
      <w:tr w:rsidR="0088278D" w:rsidTr="0088278D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Предусмотреть предоставление субсидий из федерального бюджета российским организациям внутреннего водного транспорта на возмещение части затрат по уплате процентов по кредитам, полученным в российских кредитных организациях и используемым на осуществление деятельности в межнавигационный период на срок до одного года,  в размере двух третей  ключевой ставки, установленной на  очередной финансовый год  Банком  России.</w:t>
            </w:r>
            <w:proofErr w:type="gramEnd"/>
          </w:p>
          <w:p w:rsidR="0088278D" w:rsidRDefault="0088278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Постановление Правительства Российской Федерации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8D" w:rsidRDefault="0088278D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Минфин России, Минэкономразвития России, </w:t>
            </w:r>
          </w:p>
          <w:p w:rsidR="0088278D" w:rsidRDefault="0088278D">
            <w:pPr>
              <w:jc w:val="center"/>
            </w:pPr>
            <w:r>
              <w:rPr>
                <w:sz w:val="24"/>
                <w:szCs w:val="24"/>
              </w:rPr>
              <w:t>Минтранс России.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1,0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78D" w:rsidRDefault="00882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Обеспечение бесперебойной работы организаций внутреннего водного транспорта </w:t>
            </w:r>
          </w:p>
        </w:tc>
      </w:tr>
    </w:tbl>
    <w:p w:rsidR="0088278D" w:rsidRDefault="0088278D" w:rsidP="0088278D">
      <w:pPr>
        <w:spacing w:line="360" w:lineRule="auto"/>
      </w:pPr>
    </w:p>
    <w:p w:rsidR="0088278D" w:rsidRDefault="0088278D"/>
    <w:p w:rsidR="0088278D" w:rsidRDefault="0088278D"/>
    <w:sectPr w:rsidR="0088278D" w:rsidSect="0088278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8D"/>
    <w:rsid w:val="00244B29"/>
    <w:rsid w:val="0088278D"/>
    <w:rsid w:val="00A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8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78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8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78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1693</Words>
  <Characters>9656</Characters>
  <Application>Microsoft Office Word</Application>
  <DocSecurity>0</DocSecurity>
  <Lines>80</Lines>
  <Paragraphs>22</Paragraphs>
  <ScaleCrop>false</ScaleCrop>
  <Company>Grizli777</Company>
  <LinksUpToDate>false</LinksUpToDate>
  <CharactersWithSpaces>11327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dcterms:created xsi:type="dcterms:W3CDTF">2015-02-27T07:20:00Z</dcterms:created>
  <dcterms:modified xsi:type="dcterms:W3CDTF">2015-02-27T07:24:00Z</dcterms:modified>
</cp:coreProperties>
</file>