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AF482AF" w14:textId="29BA5CAA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Java  |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C++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 xml:space="preserve">C# 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JavaScript | TypeScript | SQL | Node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React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>Js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jQuery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CI/CD |</w:t>
      </w:r>
      <w:r w:rsidR="00D0306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Unit Testing | OOP </w:t>
      </w:r>
      <w:r w:rsidR="004E39AC">
        <w:rPr>
          <w:rFonts w:ascii="Nunito" w:eastAsia="Nunito" w:hAnsi="Nunito" w:cs="Nunito"/>
          <w:color w:val="0F0F0F"/>
          <w:sz w:val="18"/>
          <w:szCs w:val="18"/>
        </w:rPr>
        <w:t xml:space="preserve">| Azure </w:t>
      </w:r>
      <w:r w:rsidR="00635B47">
        <w:rPr>
          <w:rFonts w:ascii="Nunito" w:eastAsia="Nunito" w:hAnsi="Nunito" w:cs="Nunito"/>
          <w:color w:val="0F0F0F"/>
          <w:sz w:val="18"/>
          <w:szCs w:val="18"/>
        </w:rPr>
        <w:t>EventHub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| Azure | Kafka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Microservices | Distributed Systems | Frontend | Backend | Full-Stack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6AE8F1DF" w:rsidR="006F395F" w:rsidRPr="001F626B" w:rsidRDefault="007B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bookmarkStart w:id="0" w:name="OLE_LINK1"/>
            <w:r>
              <w:rPr>
                <w:rFonts w:ascii="Nunito" w:eastAsia="Nunito" w:hAnsi="Nunito" w:cs="Nunito"/>
                <w:b/>
              </w:rPr>
              <w:t>R&amp;D, Sr.</w:t>
            </w:r>
            <w:r w:rsidRPr="001F626B">
              <w:rPr>
                <w:rFonts w:ascii="Nunito" w:eastAsia="Nunito" w:hAnsi="Nunito" w:cs="Nunito"/>
                <w:b/>
              </w:rPr>
              <w:t xml:space="preserve"> Engineer</w:t>
            </w:r>
            <w:r w:rsidR="009B0FED" w:rsidRPr="001F626B">
              <w:rPr>
                <w:rFonts w:ascii="Nunito" w:eastAsia="Nunito" w:hAnsi="Nunito" w:cs="Nunito"/>
                <w:b/>
              </w:rPr>
              <w:t xml:space="preserve"> II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Pr="001F626B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9632231" w:rsidR="006F395F" w:rsidRPr="001F626B" w:rsidRDefault="007B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Synopsys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Pr="001F626B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1142F555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05/20</w:t>
            </w:r>
            <w:r w:rsidR="009B0FED" w:rsidRPr="001F626B">
              <w:rPr>
                <w:rFonts w:ascii="Nunito" w:eastAsia="Nunito" w:hAnsi="Nunito" w:cs="Nunito"/>
                <w:b/>
              </w:rPr>
              <w:t>21</w:t>
            </w:r>
            <w:r w:rsidRPr="001F626B">
              <w:rPr>
                <w:rFonts w:ascii="Nunito" w:eastAsia="Nunito" w:hAnsi="Nunito" w:cs="Nunito"/>
                <w:b/>
              </w:rPr>
              <w:t xml:space="preserve"> - </w:t>
            </w:r>
            <w:r w:rsidR="009B0FED" w:rsidRPr="001F626B">
              <w:rPr>
                <w:rFonts w:ascii="Nunito" w:eastAsia="Nunito" w:hAnsi="Nunito" w:cs="Nunito"/>
                <w:b/>
              </w:rPr>
              <w:t>Present</w:t>
            </w:r>
          </w:p>
        </w:tc>
      </w:tr>
    </w:tbl>
    <w:p w14:paraId="2A423941" w14:textId="54FCA8F6" w:rsidR="007B15CD" w:rsidRDefault="00000000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DPV:</w:t>
      </w:r>
      <w:r w:rsidR="00344179" w:rsidRPr="001F626B">
        <w:rPr>
          <w:rFonts w:ascii="Nunito" w:eastAsia="Nunito" w:hAnsi="Nunito" w:cs="Nunito"/>
          <w:b/>
          <w:bCs/>
          <w:sz w:val="20"/>
          <w:szCs w:val="20"/>
        </w:rPr>
        <w:t xml:space="preserve">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Formal Data Path Verification</w:t>
      </w:r>
    </w:p>
    <w:p w14:paraId="4422CA95" w14:textId="06EDCF18" w:rsidR="007B15CD" w:rsidRPr="007B15CD" w:rsidRDefault="007B15C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Working in </w:t>
      </w:r>
      <w:r w:rsidR="006C56CD" w:rsidRPr="006C56CD">
        <w:rPr>
          <w:rFonts w:ascii="Nunito" w:eastAsia="Nunito" w:hAnsi="Nunito" w:cs="Nunito"/>
          <w:sz w:val="18"/>
          <w:szCs w:val="18"/>
        </w:rPr>
        <w:t>DPV</w:t>
      </w:r>
      <w:r w:rsidR="00AE6DF2">
        <w:rPr>
          <w:rFonts w:ascii="Nunito" w:eastAsia="Nunito" w:hAnsi="Nunito" w:cs="Nunito"/>
          <w:sz w:val="18"/>
          <w:szCs w:val="18"/>
        </w:rPr>
        <w:t xml:space="preserve">, </w:t>
      </w:r>
      <w:r w:rsidR="006C56CD" w:rsidRPr="006C56CD">
        <w:rPr>
          <w:rFonts w:ascii="Nunito" w:eastAsia="Nunito" w:hAnsi="Nunito" w:cs="Nunito"/>
          <w:sz w:val="18"/>
          <w:szCs w:val="18"/>
        </w:rPr>
        <w:t>a formal verification tool that verifies the correct implementation of data path elements of a design, uses formal algorithms to thoroughly prove the transactional equivalence between two designs.</w:t>
      </w:r>
    </w:p>
    <w:p w14:paraId="61B4BF25" w14:textId="77777777" w:rsidR="007B15CD" w:rsidRPr="007B15CD" w:rsidRDefault="007B15CD">
      <w:pPr>
        <w:spacing w:line="240" w:lineRule="auto"/>
        <w:ind w:left="-270"/>
        <w:rPr>
          <w:rFonts w:ascii="Nunito" w:eastAsia="Nunito" w:hAnsi="Nunito" w:cs="Nunito"/>
          <w:sz w:val="4"/>
          <w:szCs w:val="4"/>
        </w:rPr>
      </w:pPr>
    </w:p>
    <w:tbl>
      <w:tblPr>
        <w:tblW w:w="11295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0"/>
        <w:gridCol w:w="2234"/>
        <w:gridCol w:w="2234"/>
        <w:gridCol w:w="2288"/>
        <w:gridCol w:w="2029"/>
      </w:tblGrid>
      <w:tr w:rsidR="007B15CD" w14:paraId="77A4CF8D" w14:textId="77777777" w:rsidTr="007B15CD">
        <w:tc>
          <w:tcPr>
            <w:tcW w:w="2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1B9C" w14:textId="77777777" w:rsidR="007B15CD" w:rsidRDefault="007B15CD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Software Engineer II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19B2" w14:textId="77777777" w:rsidR="007B15CD" w:rsidRDefault="007B15C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9C68" w14:textId="77777777" w:rsidR="007B15CD" w:rsidRDefault="007B15C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Microsoft</w:t>
            </w:r>
          </w:p>
        </w:tc>
        <w:tc>
          <w:tcPr>
            <w:tcW w:w="22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F3FB" w14:textId="77777777" w:rsidR="007B15CD" w:rsidRDefault="007B15CD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D8DA" w14:textId="3928BFEF" w:rsidR="007B15CD" w:rsidRDefault="007B15C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05/2021 – 05/2023</w:t>
            </w:r>
          </w:p>
        </w:tc>
      </w:tr>
    </w:tbl>
    <w:p w14:paraId="6ACEDF13" w14:textId="6E15D3F7" w:rsidR="007B15CD" w:rsidRDefault="007B15CD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sz w:val="20"/>
          <w:szCs w:val="20"/>
        </w:rPr>
        <w:t>Catalog Filtering for Upgradable Plans in OneDrive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509AAADD" w14:textId="77777777" w:rsidR="002434BE" w:rsidRDefault="002434BE" w:rsidP="002D205C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bookmarkStart w:id="1" w:name="OLE_LINK3"/>
      <w:bookmarkStart w:id="2" w:name="OLE_LINK2"/>
      <w:bookmarkEnd w:id="0"/>
      <w:r w:rsidRPr="002434BE">
        <w:rPr>
          <w:rFonts w:ascii="Nunito" w:eastAsia="Nunito" w:hAnsi="Nunito" w:cs="Nunito"/>
          <w:sz w:val="18"/>
          <w:szCs w:val="18"/>
        </w:rPr>
        <w:t xml:space="preserve">New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releases </w:t>
      </w:r>
      <w:bookmarkEnd w:id="1"/>
      <w:r w:rsidRPr="002434BE">
        <w:rPr>
          <w:rFonts w:ascii="Nunito" w:eastAsia="Nunito" w:hAnsi="Nunito" w:cs="Nunito"/>
          <w:sz w:val="18"/>
          <w:szCs w:val="18"/>
        </w:rPr>
        <w:t xml:space="preserve">by Commerce are causing multiple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sev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</w:t>
      </w:r>
      <w:bookmarkEnd w:id="2"/>
      <w:r w:rsidRPr="002434BE">
        <w:rPr>
          <w:rFonts w:ascii="Nunito" w:eastAsia="Nunito" w:hAnsi="Nunito" w:cs="Nunito"/>
          <w:sz w:val="18"/>
          <w:szCs w:val="18"/>
        </w:rPr>
        <w:t xml:space="preserve">2 incidents, impacting OneDrive upsell, with a </w:t>
      </w:r>
      <w:proofErr w:type="gramStart"/>
      <w:r w:rsidRPr="002434BE">
        <w:rPr>
          <w:rFonts w:ascii="Nunito" w:eastAsia="Nunito" w:hAnsi="Nunito" w:cs="Nunito"/>
          <w:sz w:val="18"/>
          <w:szCs w:val="18"/>
        </w:rPr>
        <w:t>2-3 week</w:t>
      </w:r>
      <w:proofErr w:type="gramEnd"/>
      <w:r w:rsidRPr="002434BE">
        <w:rPr>
          <w:rFonts w:ascii="Nunito" w:eastAsia="Nunito" w:hAnsi="Nunito" w:cs="Nunito"/>
          <w:sz w:val="18"/>
          <w:szCs w:val="18"/>
        </w:rPr>
        <w:t xml:space="preserve"> production fix timeline.</w:t>
      </w:r>
    </w:p>
    <w:p w14:paraId="1F27E6A2" w14:textId="60629F75" w:rsid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 xml:space="preserve">Developed </w:t>
      </w:r>
      <w:r>
        <w:rPr>
          <w:rFonts w:ascii="Nunito" w:eastAsia="Nunito" w:hAnsi="Nunito" w:cs="Nunito"/>
          <w:sz w:val="18"/>
          <w:szCs w:val="18"/>
        </w:rPr>
        <w:t xml:space="preserve">and Implemented </w:t>
      </w:r>
      <w:r w:rsidRPr="002434BE">
        <w:rPr>
          <w:rFonts w:ascii="Nunito" w:eastAsia="Nunito" w:hAnsi="Nunito" w:cs="Nunito"/>
          <w:sz w:val="18"/>
          <w:szCs w:val="18"/>
        </w:rPr>
        <w:t xml:space="preserve">solution to filter unsupported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skus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and allow only supported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skus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for OneDrive sales via catalog filtering and whitelisting.</w:t>
      </w:r>
    </w:p>
    <w:p w14:paraId="2669F982" w14:textId="641986BE" w:rsidR="00575904" w:rsidRP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>Catalog filtering and whitelisting prevented OneDrive sales impact, saved time, and improved service reliability/stability</w:t>
      </w:r>
      <w:r w:rsidR="008C759A">
        <w:rPr>
          <w:rFonts w:ascii="Nunito" w:eastAsia="Nunito" w:hAnsi="Nunito" w:cs="Nunito"/>
          <w:sz w:val="18"/>
          <w:szCs w:val="18"/>
        </w:rPr>
        <w:t>.</w:t>
      </w:r>
    </w:p>
    <w:p w14:paraId="5D34113A" w14:textId="14714CA7" w:rsidR="001A7519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1251B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Stream 2.0 </w:t>
      </w:r>
      <w:r w:rsidR="001A7519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Office Integration</w:t>
      </w:r>
    </w:p>
    <w:p w14:paraId="67E29619" w14:textId="0AE50A1D" w:rsidR="00887329" w:rsidRPr="002434BE" w:rsidRDefault="001A7519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2434BE">
        <w:rPr>
          <w:rFonts w:ascii="Nunito" w:eastAsia="Nunito" w:hAnsi="Nunito" w:cs="Nunito"/>
          <w:color w:val="0F0F0F"/>
          <w:sz w:val="18"/>
          <w:szCs w:val="18"/>
        </w:rPr>
        <w:t>Enable insertion of linked Stream 2.0 videos from SharePoint/OneDrive into Office documents for direct playback, promoting video cohesion for enterprise customers.</w:t>
      </w:r>
    </w:p>
    <w:p w14:paraId="19F04CAB" w14:textId="2F87C564" w:rsidR="004A57B5" w:rsidRDefault="004A57B5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Developed and integrated the video playback module for inserted videos into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Excel 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>documents, collaborating with partner teams to ensure smooth interaction with multiple services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p w14:paraId="6945A27F" w14:textId="051F57EE" w:rsidR="00FE22EB" w:rsidRDefault="00FE22EB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</w:t>
      </w:r>
      <w:r w:rsidRPr="00FE22EB">
        <w:rPr>
          <w:rFonts w:ascii="Nunito" w:eastAsia="Nunito" w:hAnsi="Nunito" w:cs="Nunito"/>
          <w:color w:val="0F0F0F"/>
          <w:sz w:val="18"/>
          <w:szCs w:val="18"/>
        </w:rPr>
        <w:t>nhances video experience and enables M365 customers to use ODSP videos, facilitating efficient collaboration.</w:t>
      </w:r>
    </w:p>
    <w:p w14:paraId="11EE8E1D" w14:textId="48A970DC" w:rsidR="004E67E6" w:rsidRDefault="004E67E6" w:rsidP="004E67E6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Explainer Videos in PowerPoint</w:t>
      </w:r>
    </w:p>
    <w:p w14:paraId="3A10EFDE" w14:textId="506F51FA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Renovate Recording Studio of PowerPoint with </w:t>
      </w:r>
      <w:r w:rsidR="00F57B21" w:rsidRPr="00696BFA">
        <w:rPr>
          <w:rFonts w:ascii="Nunito" w:eastAsia="Nunito" w:hAnsi="Nunito" w:cs="Nunito"/>
          <w:color w:val="0F0F0F"/>
          <w:sz w:val="18"/>
          <w:szCs w:val="18"/>
        </w:rPr>
        <w:t>advanced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Exporting Video, camera </w:t>
      </w:r>
      <w:r>
        <w:rPr>
          <w:rFonts w:ascii="Nunito" w:eastAsia="Nunito" w:hAnsi="Nunito" w:cs="Nunito"/>
          <w:color w:val="0F0F0F"/>
          <w:sz w:val="18"/>
          <w:szCs w:val="18"/>
        </w:rPr>
        <w:t>b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>ackground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etc.)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to increase user appeal and proclivity towards creating explainer videos.</w:t>
      </w:r>
    </w:p>
    <w:p w14:paraId="36CEDC35" w14:textId="77777777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>Designed and implemented new camera modes and added the ability to blur the camera background in the user's live feed.</w:t>
      </w:r>
    </w:p>
    <w:p w14:paraId="38E2BED0" w14:textId="29A63C12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Increased the recording sessions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MAU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from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1.5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 to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4.2</w:t>
      </w:r>
      <w:r>
        <w:rPr>
          <w:rFonts w:ascii="Nunito" w:eastAsia="Nunito" w:hAnsi="Nunito" w:cs="Nunito"/>
          <w:color w:val="0F0F0F"/>
          <w:sz w:val="18"/>
          <w:szCs w:val="18"/>
        </w:rPr>
        <w:t>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10022E9" w14:textId="6FBADEC8" w:rsidR="00696BFA" w:rsidRDefault="00772347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E67E6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Cameo in Recording Studio</w:t>
      </w:r>
    </w:p>
    <w:p w14:paraId="7D47F5B8" w14:textId="2945E0E7" w:rsidR="00696BFA" w:rsidRPr="005450EF" w:rsidRDefault="005450EF" w:rsidP="004517E0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5450EF">
        <w:rPr>
          <w:rFonts w:ascii="Nunito" w:eastAsia="Nunito" w:hAnsi="Nunito" w:cs="Nunito"/>
          <w:color w:val="0F0F0F"/>
          <w:sz w:val="18"/>
          <w:szCs w:val="18"/>
        </w:rPr>
        <w:t>Fixed camera position in recording studio obstructs slide content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and limits impactful slide creation with integrated camera content.</w:t>
      </w:r>
    </w:p>
    <w:p w14:paraId="6A15B4F2" w14:textId="48ADAD0A" w:rsidR="003A2FD6" w:rsidRDefault="003A2FD6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Cameo (Customizable Camera object) during recording and </w:t>
      </w:r>
      <w:r w:rsidR="00F57B21">
        <w:rPr>
          <w:rFonts w:ascii="Nunito" w:eastAsia="Nunito" w:hAnsi="Nunito" w:cs="Nunito"/>
          <w:color w:val="0F0F0F"/>
          <w:sz w:val="18"/>
          <w:szCs w:val="18"/>
        </w:rPr>
        <w:t>editing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options for shape, </w:t>
      </w:r>
      <w:proofErr w:type="gramStart"/>
      <w:r>
        <w:rPr>
          <w:rFonts w:ascii="Nunito" w:eastAsia="Nunito" w:hAnsi="Nunito" w:cs="Nunito"/>
          <w:color w:val="0F0F0F"/>
          <w:sz w:val="18"/>
          <w:szCs w:val="18"/>
        </w:rPr>
        <w:t>size</w:t>
      </w:r>
      <w:proofErr w:type="gramEnd"/>
      <w:r>
        <w:rPr>
          <w:rFonts w:ascii="Nunito" w:eastAsia="Nunito" w:hAnsi="Nunito" w:cs="Nunito"/>
          <w:color w:val="0F0F0F"/>
          <w:sz w:val="18"/>
          <w:szCs w:val="18"/>
        </w:rPr>
        <w:t xml:space="preserve"> and layout to optimize video with slide design.</w:t>
      </w:r>
    </w:p>
    <w:p w14:paraId="680040BE" w14:textId="18D2D864" w:rsidR="00696BFA" w:rsidRDefault="00F57B21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Cameo insertion in recording MAU is 1.2M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out of 4.2M recording sessions started.</w:t>
      </w:r>
    </w:p>
    <w:p w14:paraId="6D49B3FF" w14:textId="77777777" w:rsidR="004603DF" w:rsidRDefault="00772347" w:rsidP="004603DF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Automation</w:t>
      </w:r>
      <w:r w:rsidR="008E1410" w:rsidRPr="001F626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8103E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Explainer Videos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in</w:t>
      </w:r>
      <w:r w:rsidR="008A0243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t</w:t>
      </w:r>
      <w:r w:rsidR="004603D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</w:p>
    <w:p w14:paraId="06879828" w14:textId="77777777" w:rsidR="004603DF" w:rsidRDefault="008E1410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>Led the automation crew for v1 release of Explainer Videos using Recording Studio in PowerPoint Win32 App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6CF76F3" w14:textId="2B98231B" w:rsidR="004603DF" w:rsidRDefault="008A0243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 xml:space="preserve">Gathered knowledge of writing test cases and executing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in </w:t>
      </w:r>
      <w:r w:rsidR="008E1410" w:rsidRPr="004603DF">
        <w:rPr>
          <w:rFonts w:ascii="Nunito" w:eastAsia="Nunito" w:hAnsi="Nunito" w:cs="Nunito"/>
          <w:color w:val="0F0F0F"/>
          <w:sz w:val="18"/>
          <w:szCs w:val="18"/>
        </w:rPr>
        <w:t xml:space="preserve">PPT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and shared with team to keep our feature away from regressions. </w:t>
      </w:r>
    </w:p>
    <w:p w14:paraId="4FB92B57" w14:textId="0DC07962" w:rsidR="004603DF" w:rsidRPr="004603DF" w:rsidRDefault="004603DF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Created Plans for test driven development for features and contributed to keeping features in healthy state.</w:t>
      </w:r>
    </w:p>
    <w:p w14:paraId="332EA01A" w14:textId="51EA9383" w:rsidR="006F395F" w:rsidRDefault="00772347" w:rsidP="004603DF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Enriched system metrics by integrating the </w:t>
      </w:r>
      <w:r w:rsidR="001A616D" w:rsidRPr="001F626B">
        <w:rPr>
          <w:rFonts w:ascii="Nunito" w:eastAsia="Nunito" w:hAnsi="Nunito" w:cs="Nunito"/>
          <w:color w:val="0F0F0F"/>
          <w:sz w:val="20"/>
          <w:szCs w:val="20"/>
        </w:rPr>
        <w:t>features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 with telemetry; facilitated in-depth logging </w:t>
      </w:r>
      <w:r w:rsidR="0088103E" w:rsidRPr="001F626B">
        <w:rPr>
          <w:rFonts w:ascii="Nunito" w:eastAsia="Nunito" w:hAnsi="Nunito" w:cs="Nunito"/>
          <w:color w:val="0F0F0F"/>
          <w:sz w:val="20"/>
          <w:szCs w:val="20"/>
        </w:rPr>
        <w:t>for Explainer Videos</w:t>
      </w:r>
      <w:r w:rsidR="001F626B">
        <w:rPr>
          <w:rFonts w:ascii="Nunito" w:eastAsia="Nunito" w:hAnsi="Nunito" w:cs="Nunito"/>
          <w:color w:val="0F0F0F"/>
          <w:sz w:val="20"/>
          <w:szCs w:val="20"/>
        </w:rPr>
        <w:t xml:space="preserve">      </w:t>
      </w:r>
      <w:r w:rsidR="00F11061" w:rsidRPr="001F626B">
        <w:rPr>
          <w:rFonts w:ascii="Nunito" w:eastAsia="Nunito" w:hAnsi="Nunito" w:cs="Nunito"/>
          <w:color w:val="0F0F0F"/>
          <w:sz w:val="20"/>
          <w:szCs w:val="20"/>
        </w:rPr>
        <w:t>Recording and Export events.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6F395F" w14:paraId="6717AE4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6F395F" w:rsidRPr="001F626B" w:rsidRDefault="001874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Member Of Technical Staff 2</w:t>
            </w:r>
            <w:r w:rsidR="009B0FED" w:rsidRPr="001F626B">
              <w:rPr>
                <w:rFonts w:ascii="Nunito" w:eastAsia="Nunito" w:hAnsi="Nunito" w:cs="Nunito"/>
                <w:b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77777777" w:rsidR="006F395F" w:rsidRPr="001F626B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6F395F" w:rsidRPr="001F626B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1F626B">
              <w:rPr>
                <w:rFonts w:ascii="Nunito" w:eastAsia="Nunito" w:hAnsi="Nunito" w:cs="Nunito"/>
                <w:b/>
                <w:u w:val="single"/>
              </w:rPr>
              <w:t>A</w:t>
            </w:r>
            <w:r w:rsidR="009B0FED" w:rsidRPr="001F626B">
              <w:rPr>
                <w:rFonts w:ascii="Nunito" w:eastAsia="Nunito" w:hAnsi="Nunito" w:cs="Nunito"/>
                <w:b/>
                <w:u w:val="single"/>
              </w:rPr>
              <w:t>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6F395F" w:rsidRPr="001F626B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16E3E06A" w:rsidR="006F395F" w:rsidRPr="001F626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</w:t>
            </w:r>
            <w:r w:rsidR="00DF5802" w:rsidRPr="001F626B">
              <w:rPr>
                <w:rFonts w:ascii="Nunito" w:eastAsia="Nunito" w:hAnsi="Nunito" w:cs="Nunito"/>
                <w:b/>
              </w:rPr>
              <w:t>8</w:t>
            </w:r>
            <w:r w:rsidRPr="001F626B">
              <w:rPr>
                <w:rFonts w:ascii="Nunito" w:eastAsia="Nunito" w:hAnsi="Nunito" w:cs="Nunito"/>
                <w:b/>
              </w:rPr>
              <w:t>/201</w:t>
            </w:r>
            <w:r w:rsidR="00DF5802" w:rsidRPr="001F626B">
              <w:rPr>
                <w:rFonts w:ascii="Nunito" w:eastAsia="Nunito" w:hAnsi="Nunito" w:cs="Nunito"/>
                <w:b/>
              </w:rPr>
              <w:t>5</w:t>
            </w:r>
            <w:r w:rsidRPr="001F626B">
              <w:rPr>
                <w:rFonts w:ascii="Nunito" w:eastAsia="Nunito" w:hAnsi="Nunito" w:cs="Nunito"/>
                <w:b/>
              </w:rPr>
              <w:t xml:space="preserve"> - 04/20</w:t>
            </w:r>
            <w:r w:rsidR="0018745E" w:rsidRPr="001F626B">
              <w:rPr>
                <w:rFonts w:ascii="Nunito" w:eastAsia="Nunito" w:hAnsi="Nunito" w:cs="Nunito"/>
                <w:b/>
              </w:rPr>
              <w:t>21</w:t>
            </w:r>
          </w:p>
        </w:tc>
      </w:tr>
    </w:tbl>
    <w:p w14:paraId="3C5DF8EE" w14:textId="77777777" w:rsidR="00302B58" w:rsidRPr="001F626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 Mathematical </w:t>
      </w:r>
      <w:r w:rsidR="004D1DA4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Expressions &amp;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Equations in AEM Docx Web Editor</w:t>
      </w:r>
    </w:p>
    <w:p w14:paraId="3EAA3494" w14:textId="77777777" w:rsidR="00302B58" w:rsidRDefault="004D1DA4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document as a SVG Image.</w:t>
      </w:r>
    </w:p>
    <w:p w14:paraId="1286B217" w14:textId="47345B95" w:rsidR="006F395F" w:rsidRPr="00302B58" w:rsidRDefault="001127CB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Enables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 xml:space="preserve"> and attracts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customers working 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>on Math Documents to use Web Editor.</w:t>
      </w:r>
    </w:p>
    <w:p w14:paraId="4CFF9166" w14:textId="77777777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Supporting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user-based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profiles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to update AEM Docx Web Editor UI</w:t>
      </w:r>
    </w:p>
    <w:p w14:paraId="1C6C5D32" w14:textId="624AF8B5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Designed and </w:t>
      </w:r>
      <w:r w:rsidR="00256258" w:rsidRPr="00302B58">
        <w:rPr>
          <w:rFonts w:ascii="Nunito" w:eastAsia="Nunito" w:hAnsi="Nunito" w:cs="Nunito"/>
          <w:color w:val="0F0F0F"/>
          <w:sz w:val="18"/>
          <w:szCs w:val="18"/>
        </w:rPr>
        <w:t>implemented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the APIs to provide customers the functionality to upload user-based profile configs and honoring their preferences in Web Editor.</w:t>
      </w:r>
    </w:p>
    <w:p w14:paraId="130A7C33" w14:textId="02658E03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Enabled customers to configure the Editor UI according to their organization needs and requirements.</w:t>
      </w:r>
    </w:p>
    <w:p w14:paraId="3E454A19" w14:textId="1190A3F3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Improving performance for very large files where customer reported Freezing/Slowness in Web Editor</w:t>
      </w:r>
    </w:p>
    <w:p w14:paraId="22C1FD36" w14:textId="1D907C79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Designed and implemented the lazy loading for files in Web Editor, which resulted in 60% reduction in overall loading time.</w:t>
      </w:r>
    </w:p>
    <w:p w14:paraId="19B20E46" w14:textId="77777777" w:rsidR="005A3661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ColorPop</w:t>
      </w:r>
      <w:proofErr w:type="spellEnd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in Photoshop Element</w:t>
      </w:r>
    </w:p>
    <w:p w14:paraId="7D889792" w14:textId="138C1E9C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Edit a picture by illuminating the important Object by keeping it colored and making all other objects black and white.</w:t>
      </w:r>
    </w:p>
    <w:p w14:paraId="592277A4" w14:textId="7493BA64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lastRenderedPageBreak/>
        <w:t xml:space="preserve">Designed and implemented the feature using Photoshop Engine by </w:t>
      </w:r>
      <w:r w:rsidR="00B2460B">
        <w:rPr>
          <w:rFonts w:ascii="Nunito" w:eastAsia="Nunito" w:hAnsi="Nunito" w:cs="Nunito"/>
          <w:color w:val="0F0F0F"/>
          <w:sz w:val="18"/>
          <w:szCs w:val="18"/>
        </w:rPr>
        <w:t>masking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out the object to be highlighted and created Auto Creatio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>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running in background to recognize the images suitable for applying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ColorPop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on basis of configuration and push notification to user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after successful creation.</w:t>
      </w:r>
    </w:p>
    <w:p w14:paraId="413A7700" w14:textId="77777777" w:rsidR="00065F1C" w:rsidRDefault="008F3F2A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Migrated Elements</w:t>
      </w:r>
      <w:r w:rsidR="001B2720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from RIBS to Hyperdrive</w:t>
      </w:r>
    </w:p>
    <w:p w14:paraId="40E865E5" w14:textId="0004C284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Redesigned the CI/CD pipelines create new executables having Hyperdrive environment. Created independent bundles for parallelization.</w:t>
      </w:r>
    </w:p>
    <w:p w14:paraId="5CE7B206" w14:textId="07927EA9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Elements Product Installation time on system significantly reduced by 50% on average.</w:t>
      </w:r>
    </w:p>
    <w:p w14:paraId="509D67F1" w14:textId="66DD90DB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proofErr w:type="spellEnd"/>
            <w:proofErr w:type="gramEnd"/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19DA7C2C" w:rsidR="006F395F" w:rsidRDefault="00D11A7F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 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Maulana Azad National Institute of Tech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ology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(NIT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Bhopal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  <w:tr w:rsidR="001B3823" w14:paraId="31FBFC09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3F6" w14:textId="740E9810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(78%)</w:t>
            </w:r>
          </w:p>
          <w:p w14:paraId="06AB144A" w14:textId="77777777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72A" w14:textId="77777777" w:rsidR="001B3823" w:rsidRDefault="001B3823" w:rsidP="001B382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BD82" w14:textId="0A3F1EAD" w:rsidR="001B3823" w:rsidRDefault="001B3823" w:rsidP="001B382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Kendriya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Vidyalaya Shivpuri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09C1" w14:textId="17510B08" w:rsidR="001B3823" w:rsidRDefault="00893EFD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SHIVPURI</w:t>
            </w:r>
            <w:r w:rsidR="001B3823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0FC0" w14:textId="2A234938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- 05/20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</w:p>
        </w:tc>
      </w:tr>
      <w:tr w:rsidR="00A82907" w14:paraId="14DB4BD3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CFF" w14:textId="752838AB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(85.6%)</w:t>
            </w:r>
          </w:p>
          <w:p w14:paraId="6CB11FD3" w14:textId="77777777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6EA" w14:textId="77777777" w:rsidR="00A82907" w:rsidRDefault="00A82907" w:rsidP="00A8290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B330" w14:textId="00DBACE5" w:rsidR="00A82907" w:rsidRDefault="00A82907" w:rsidP="00A8290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Kendriya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Vidyalaya JRC Bareilly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0CA9" w14:textId="60614B03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i/>
                <w:sz w:val="20"/>
                <w:szCs w:val="20"/>
              </w:rPr>
              <w:t>B</w:t>
            </w:r>
            <w:r w:rsidR="00893EFD">
              <w:rPr>
                <w:rFonts w:ascii="Nunito" w:eastAsia="Nunito" w:hAnsi="Nunito" w:cs="Nunito"/>
                <w:i/>
                <w:sz w:val="20"/>
                <w:szCs w:val="20"/>
              </w:rPr>
              <w:t>arielly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l</w:t>
            </w:r>
            <w:proofErr w:type="spellEnd"/>
            <w:r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2A" w14:textId="44995129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04/2007 - 05/2008</w:t>
            </w:r>
          </w:p>
        </w:tc>
      </w:tr>
    </w:tbl>
    <w:p w14:paraId="7AF4336F" w14:textId="7C7F70A7" w:rsidR="009B0FED" w:rsidRPr="00256258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Spot Award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: 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Received for Outstanding work in Elements Team for Migrating to hyperdrive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(0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4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/201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8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Ranked 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st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Knight Coders in </w:t>
      </w:r>
      <w:proofErr w:type="spellStart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2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29AFFB70" w14:textId="4011A317" w:rsidR="00513BE0" w:rsidRPr="00256258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Ranked 3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rd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Code Pokers Held in </w:t>
      </w:r>
      <w:proofErr w:type="spellStart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(2012)</w:t>
      </w:r>
    </w:p>
    <w:p w14:paraId="5458B14E" w14:textId="3E0D9CD2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1974 on </w:t>
      </w:r>
      <w:hyperlink r:id="rId7" w:history="1">
        <w:proofErr w:type="spellStart"/>
        <w:r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Codechef</w:t>
        </w:r>
        <w:proofErr w:type="spellEnd"/>
      </w:hyperlink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6A5790AB" w14:textId="161C5424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1693 on </w:t>
      </w:r>
      <w:hyperlink r:id="rId8" w:history="1">
        <w:proofErr w:type="spellStart"/>
        <w:r w:rsidR="00D55498"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Codeforces</w:t>
        </w:r>
        <w:proofErr w:type="spellEnd"/>
      </w:hyperlink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 w:rsidRPr="00256258">
        <w:rPr>
          <w:rFonts w:ascii="Nunito" w:eastAsia="Nunito" w:hAnsi="Nunito" w:cs="Nunito"/>
          <w:color w:val="0F0F0F"/>
          <w:sz w:val="20"/>
          <w:szCs w:val="20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 w:rsidSect="009709B8">
      <w:headerReference w:type="default" r:id="rId9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551CA" w14:textId="77777777" w:rsidR="000D37D2" w:rsidRDefault="000D37D2">
      <w:pPr>
        <w:spacing w:line="240" w:lineRule="auto"/>
      </w:pPr>
      <w:r>
        <w:separator/>
      </w:r>
    </w:p>
  </w:endnote>
  <w:endnote w:type="continuationSeparator" w:id="0">
    <w:p w14:paraId="02491F62" w14:textId="77777777" w:rsidR="000D37D2" w:rsidRDefault="000D3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40E9" w14:textId="77777777" w:rsidR="000D37D2" w:rsidRDefault="000D37D2">
      <w:pPr>
        <w:spacing w:line="240" w:lineRule="auto"/>
      </w:pPr>
      <w:r>
        <w:separator/>
      </w:r>
    </w:p>
  </w:footnote>
  <w:footnote w:type="continuationSeparator" w:id="0">
    <w:p w14:paraId="6AED30C2" w14:textId="77777777" w:rsidR="000D37D2" w:rsidRDefault="000D3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581859443" name="Picture 581859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963515946" name="Picture 963515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1627711163" name="Picture 1627711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0AC1"/>
    <w:multiLevelType w:val="hybridMultilevel"/>
    <w:tmpl w:val="9684A9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C20DA"/>
    <w:multiLevelType w:val="hybridMultilevel"/>
    <w:tmpl w:val="16FC1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A695A"/>
    <w:multiLevelType w:val="hybridMultilevel"/>
    <w:tmpl w:val="BD109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23642"/>
    <w:multiLevelType w:val="hybridMultilevel"/>
    <w:tmpl w:val="7758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1A4714"/>
    <w:multiLevelType w:val="hybridMultilevel"/>
    <w:tmpl w:val="24FA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F32BE3"/>
    <w:multiLevelType w:val="hybridMultilevel"/>
    <w:tmpl w:val="BD923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6ED7341"/>
    <w:multiLevelType w:val="hybridMultilevel"/>
    <w:tmpl w:val="8B9C8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110FFD"/>
    <w:multiLevelType w:val="hybridMultilevel"/>
    <w:tmpl w:val="FD240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119105">
    <w:abstractNumId w:val="5"/>
  </w:num>
  <w:num w:numId="2" w16cid:durableId="1547375705">
    <w:abstractNumId w:val="7"/>
  </w:num>
  <w:num w:numId="3" w16cid:durableId="1545363193">
    <w:abstractNumId w:val="6"/>
  </w:num>
  <w:num w:numId="4" w16cid:durableId="1405646626">
    <w:abstractNumId w:val="3"/>
  </w:num>
  <w:num w:numId="5" w16cid:durableId="344676862">
    <w:abstractNumId w:val="4"/>
  </w:num>
  <w:num w:numId="6" w16cid:durableId="1086225096">
    <w:abstractNumId w:val="2"/>
  </w:num>
  <w:num w:numId="7" w16cid:durableId="1196232481">
    <w:abstractNumId w:val="0"/>
  </w:num>
  <w:num w:numId="8" w16cid:durableId="165721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65F1C"/>
    <w:rsid w:val="000D37D2"/>
    <w:rsid w:val="000F5F0B"/>
    <w:rsid w:val="001127CB"/>
    <w:rsid w:val="00127C5A"/>
    <w:rsid w:val="0016562A"/>
    <w:rsid w:val="00186700"/>
    <w:rsid w:val="0018745E"/>
    <w:rsid w:val="001A616D"/>
    <w:rsid w:val="001A7519"/>
    <w:rsid w:val="001B2720"/>
    <w:rsid w:val="001B3823"/>
    <w:rsid w:val="001C7D71"/>
    <w:rsid w:val="001D0697"/>
    <w:rsid w:val="001F626B"/>
    <w:rsid w:val="00201F7F"/>
    <w:rsid w:val="002434BE"/>
    <w:rsid w:val="00256258"/>
    <w:rsid w:val="0028756C"/>
    <w:rsid w:val="002D205C"/>
    <w:rsid w:val="002D5B81"/>
    <w:rsid w:val="002E2026"/>
    <w:rsid w:val="00302B58"/>
    <w:rsid w:val="0031388D"/>
    <w:rsid w:val="00340E51"/>
    <w:rsid w:val="00344179"/>
    <w:rsid w:val="003A2FD6"/>
    <w:rsid w:val="003B6CA9"/>
    <w:rsid w:val="003F371D"/>
    <w:rsid w:val="00407175"/>
    <w:rsid w:val="00415F54"/>
    <w:rsid w:val="00442039"/>
    <w:rsid w:val="004603DF"/>
    <w:rsid w:val="00462523"/>
    <w:rsid w:val="00466765"/>
    <w:rsid w:val="00496EE2"/>
    <w:rsid w:val="004A57B5"/>
    <w:rsid w:val="004C60B7"/>
    <w:rsid w:val="004D1DA4"/>
    <w:rsid w:val="004E39AC"/>
    <w:rsid w:val="004E67E6"/>
    <w:rsid w:val="00500559"/>
    <w:rsid w:val="00513BE0"/>
    <w:rsid w:val="005157C4"/>
    <w:rsid w:val="005450EF"/>
    <w:rsid w:val="00551B53"/>
    <w:rsid w:val="00567A44"/>
    <w:rsid w:val="00575904"/>
    <w:rsid w:val="005A3661"/>
    <w:rsid w:val="005C6939"/>
    <w:rsid w:val="00635B47"/>
    <w:rsid w:val="006576D1"/>
    <w:rsid w:val="006658B9"/>
    <w:rsid w:val="00691021"/>
    <w:rsid w:val="00696BFA"/>
    <w:rsid w:val="006A329F"/>
    <w:rsid w:val="006C56CD"/>
    <w:rsid w:val="006E3050"/>
    <w:rsid w:val="006F395F"/>
    <w:rsid w:val="00700A96"/>
    <w:rsid w:val="00705E37"/>
    <w:rsid w:val="00751CAE"/>
    <w:rsid w:val="00753594"/>
    <w:rsid w:val="00772347"/>
    <w:rsid w:val="00793808"/>
    <w:rsid w:val="007B15CD"/>
    <w:rsid w:val="007C751F"/>
    <w:rsid w:val="007D2D61"/>
    <w:rsid w:val="007D6D9F"/>
    <w:rsid w:val="007F5F78"/>
    <w:rsid w:val="00870E55"/>
    <w:rsid w:val="0088103E"/>
    <w:rsid w:val="00887329"/>
    <w:rsid w:val="00893EFD"/>
    <w:rsid w:val="008A0243"/>
    <w:rsid w:val="008C759A"/>
    <w:rsid w:val="008C7C86"/>
    <w:rsid w:val="008E1410"/>
    <w:rsid w:val="008E5664"/>
    <w:rsid w:val="008F3F2A"/>
    <w:rsid w:val="00910184"/>
    <w:rsid w:val="00956D5C"/>
    <w:rsid w:val="009709B8"/>
    <w:rsid w:val="00990E48"/>
    <w:rsid w:val="009B0FED"/>
    <w:rsid w:val="009E4DA0"/>
    <w:rsid w:val="009F6E31"/>
    <w:rsid w:val="00A47326"/>
    <w:rsid w:val="00A54661"/>
    <w:rsid w:val="00A82907"/>
    <w:rsid w:val="00AE6DF2"/>
    <w:rsid w:val="00B2460B"/>
    <w:rsid w:val="00B64506"/>
    <w:rsid w:val="00B6714B"/>
    <w:rsid w:val="00B852CD"/>
    <w:rsid w:val="00BA0BE0"/>
    <w:rsid w:val="00BA5201"/>
    <w:rsid w:val="00BE7D8A"/>
    <w:rsid w:val="00C173F7"/>
    <w:rsid w:val="00C74DDA"/>
    <w:rsid w:val="00C94D10"/>
    <w:rsid w:val="00CB5F2D"/>
    <w:rsid w:val="00CD38C0"/>
    <w:rsid w:val="00D03064"/>
    <w:rsid w:val="00D11A7F"/>
    <w:rsid w:val="00D1251B"/>
    <w:rsid w:val="00D51407"/>
    <w:rsid w:val="00D55498"/>
    <w:rsid w:val="00D64F8A"/>
    <w:rsid w:val="00DB49D0"/>
    <w:rsid w:val="00DD62B7"/>
    <w:rsid w:val="00DF5802"/>
    <w:rsid w:val="00E37E92"/>
    <w:rsid w:val="00E64821"/>
    <w:rsid w:val="00E732E1"/>
    <w:rsid w:val="00E744F5"/>
    <w:rsid w:val="00E812DA"/>
    <w:rsid w:val="00E87B28"/>
    <w:rsid w:val="00ED715A"/>
    <w:rsid w:val="00F11061"/>
    <w:rsid w:val="00F57B21"/>
    <w:rsid w:val="00F81C9F"/>
    <w:rsid w:val="00FC0796"/>
    <w:rsid w:val="00FD1D24"/>
    <w:rsid w:val="00FD73E0"/>
    <w:rsid w:val="00FE22EB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newcode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newcode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2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64</cp:revision>
  <cp:lastPrinted>2023-03-17T11:39:00Z</cp:lastPrinted>
  <dcterms:created xsi:type="dcterms:W3CDTF">2023-03-07T08:08:00Z</dcterms:created>
  <dcterms:modified xsi:type="dcterms:W3CDTF">2024-01-13T06:58:00Z</dcterms:modified>
</cp:coreProperties>
</file>