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review against the Staff / Principal bar</w:t>
      </w:r>
    </w:p>
    <w:p>
      <w:pPr>
        <w:spacing w:after="40"/>
      </w:pPr>
      <w:r>
        <w:rPr>
          <w:color w:val="5F6B7A"/>
          <w:sz w:val="19"/>
        </w:rPr>
        <w:t>Anuj Pratap Singh Yadav  ·  27 Sep 2026  ·  reviewed: resume-faang-atlassian-2page.docx and resume-eda-2page.docx</w:t>
      </w:r>
    </w:p>
    <w:p>
      <w:r>
        <w:rPr>
          <w:color w:val="5F6B7A"/>
          <w:sz w:val="19"/>
        </w:rPr>
        <w:t xml:space="preserve">Sources: memory notes, Build_resumes.md (July evidence audit), profile-review-2026-09-v2.md, career-ops cv.md, and both files exported through your own Word 2010. Companion files: </w:t>
      </w:r>
      <w:r>
        <w:rPr>
          <w:b/>
          <w:color w:val="5F6B7A"/>
          <w:sz w:val="19"/>
        </w:rPr>
        <w:t>resume_reviewed_faang.docx</w:t>
      </w:r>
      <w:r>
        <w:rPr>
          <w:color w:val="5F6B7A"/>
          <w:sz w:val="19"/>
        </w:rPr>
        <w:t xml:space="preserve"> and </w:t>
      </w:r>
      <w:r>
        <w:rPr>
          <w:b/>
          <w:color w:val="5F6B7A"/>
          <w:sz w:val="19"/>
        </w:rPr>
        <w:t>resume_reviewed_eda.docx</w:t>
      </w:r>
      <w:r>
        <w:rPr>
          <w:color w:val="5F6B7A"/>
          <w:sz w:val="19"/>
        </w:rPr>
        <w:t xml:space="preserve"> (bullet-by-bullet comments plus tracked rewrites).</w:t>
      </w:r>
    </w:p>
    <w:tbl>
      <w:tblPr>
        <w:tblW w:type="auto" w:w="0"/>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Layout w:type="fixed"/>
        <w:tblCellMar>
          <w:top w:w="90" w:type="dxa"/>
          <w:left w:w="140" w:type="dxa"/>
          <w:bottom w:w="90" w:type="dxa"/>
          <w:right w:w="140" w:type="dxa"/>
        </w:tblCellMar>
        <w:tblLook w:firstColumn="1" w:firstRow="1" w:lastColumn="0" w:lastRow="0" w:noHBand="0" w:noVBand="1" w:val="04A0"/>
      </w:tblPr>
      <w:tblGrid>
        <w:gridCol w:w="9893"/>
      </w:tblGrid>
      <w:tr>
        <w:tc>
          <w:tcPr>
            <w:tcW w:type="dxa" w:w="9893"/>
            <w:shd w:val="clear" w:color="auto" w:fill="FFF6E5"/>
          </w:tcPr>
          <w:p>
            <w:pPr>
              <w:spacing w:after="60"/>
            </w:pPr>
            <w:r>
              <w:rPr>
                <w:b/>
                <w:sz w:val="20"/>
              </w:rPr>
              <w:t>Bottom line.</w:t>
            </w:r>
            <w:r>
              <w:rPr>
                <w:sz w:val="20"/>
              </w:rPr>
              <w:t xml:space="preserve"> Neither resume clears the Staff bar at a FAANG-tier company as written. Both read as a strong Senior engineer with one genuine architecture story. The EDA version is close to the bar for Cadence / Siemens Staff-Principal SWE roles once the confidentiality and title problems are fixed. The FAANG version is about one level short for Staff (Google L6 / Microsoft 65) and out of range for Principal.</w:t>
            </w:r>
          </w:p>
          <w:p>
            <w:pPr>
              <w:spacing w:after="60"/>
            </w:pPr>
            <w:r>
              <w:rPr>
                <w:sz w:val="20"/>
              </w:rPr>
              <w:t>About half of the gap is writing: evidence you have and aren't using. The other half is scope that isn't on paper yet, and no wording closes that half.</w:t>
            </w:r>
          </w:p>
        </w:tc>
      </w:tr>
    </w:tbl>
    <w:p>
      <w:pPr>
        <w:spacing w:after="40"/>
      </w:pPr>
    </w:p>
    <w:p>
      <w:pPr>
        <w:pStyle w:val="Heading1"/>
      </w:pPr>
      <w:r>
        <w:t>1. Verdict by track</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2520"/>
        <w:gridCol w:w="1296"/>
        <w:gridCol w:w="720"/>
        <w:gridCol w:w="864"/>
        <w:gridCol w:w="4492"/>
      </w:tblGrid>
      <w:tr>
        <w:trPr>
          <w:tblHeader w:val="true"/>
          <w:cantSplit/>
        </w:trPr>
        <w:tc>
          <w:tcPr>
            <w:tcW w:type="dxa" w:w="2520"/>
            <w:shd w:val="clear" w:color="auto" w:fill="3C78D8"/>
          </w:tcPr>
          <w:p>
            <w:pPr>
              <w:spacing w:after="20" w:line="240" w:lineRule="auto"/>
            </w:pPr>
            <w:r>
              <w:rPr>
                <w:b/>
                <w:color w:val="FFFFFF"/>
                <w:sz w:val="18"/>
              </w:rPr>
              <w:t>Track and level</w:t>
            </w:r>
          </w:p>
        </w:tc>
        <w:tc>
          <w:tcPr>
            <w:tcW w:type="dxa" w:w="1296"/>
            <w:shd w:val="clear" w:color="auto" w:fill="3C78D8"/>
          </w:tcPr>
          <w:p>
            <w:pPr>
              <w:spacing w:after="20" w:line="240" w:lineRule="auto"/>
            </w:pPr>
            <w:r>
              <w:rPr>
                <w:b/>
                <w:color w:val="FFFFFF"/>
                <w:sz w:val="18"/>
              </w:rPr>
              <w:t>Verdict</w:t>
            </w:r>
          </w:p>
        </w:tc>
        <w:tc>
          <w:tcPr>
            <w:tcW w:type="dxa" w:w="720"/>
            <w:shd w:val="clear" w:color="auto" w:fill="3C78D8"/>
          </w:tcPr>
          <w:p>
            <w:pPr>
              <w:spacing w:after="20" w:line="240" w:lineRule="auto"/>
            </w:pPr>
            <w:r>
              <w:rPr>
                <w:b/>
                <w:color w:val="FFFFFF"/>
                <w:sz w:val="18"/>
              </w:rPr>
              <w:t>Now</w:t>
            </w:r>
          </w:p>
        </w:tc>
        <w:tc>
          <w:tcPr>
            <w:tcW w:type="dxa" w:w="864"/>
            <w:shd w:val="clear" w:color="auto" w:fill="3C78D8"/>
          </w:tcPr>
          <w:p>
            <w:pPr>
              <w:spacing w:after="20" w:line="240" w:lineRule="auto"/>
            </w:pPr>
            <w:r>
              <w:rPr>
                <w:b/>
                <w:color w:val="FFFFFF"/>
                <w:sz w:val="18"/>
              </w:rPr>
              <w:t>After*</w:t>
            </w:r>
          </w:p>
        </w:tc>
        <w:tc>
          <w:tcPr>
            <w:tcW w:type="dxa" w:w="4493"/>
            <w:shd w:val="clear" w:color="auto" w:fill="3C78D8"/>
          </w:tcPr>
          <w:p>
            <w:pPr>
              <w:spacing w:after="20" w:line="240" w:lineRule="auto"/>
            </w:pPr>
            <w:r>
              <w:rPr>
                <w:b/>
                <w:color w:val="FFFFFF"/>
                <w:sz w:val="18"/>
              </w:rPr>
              <w:t>What limits it</w:t>
            </w:r>
          </w:p>
        </w:tc>
      </w:tr>
      <w:tr>
        <w:trPr>
          <w:cantSplit/>
        </w:trPr>
        <w:tc>
          <w:tcPr>
            <w:tcW w:type="dxa" w:w="2520"/>
          </w:tcPr>
          <w:p>
            <w:pPr>
              <w:spacing w:after="20" w:line="240" w:lineRule="auto"/>
            </w:pPr>
            <w:r>
              <w:rPr>
                <w:b/>
                <w:sz w:val="18"/>
              </w:rPr>
              <w:t>EDA:</w:t>
            </w:r>
            <w:r>
              <w:rPr>
                <w:sz w:val="18"/>
              </w:rPr>
              <w:t xml:space="preserve"> Cadence / Siemens Staff, Lead, Principal SWE</w:t>
            </w:r>
          </w:p>
        </w:tc>
        <w:tc>
          <w:tcPr>
            <w:tcW w:type="dxa" w:w="1296"/>
          </w:tcPr>
          <w:p>
            <w:pPr>
              <w:spacing w:after="20" w:line="240" w:lineRule="auto"/>
            </w:pPr>
            <w:r>
              <w:rPr>
                <w:sz w:val="18"/>
              </w:rPr>
              <w:t>Near bar</w:t>
            </w:r>
          </w:p>
        </w:tc>
        <w:tc>
          <w:tcPr>
            <w:tcW w:type="dxa" w:w="720"/>
          </w:tcPr>
          <w:p>
            <w:pPr>
              <w:spacing w:after="20" w:line="240" w:lineRule="auto"/>
            </w:pPr>
            <w:r>
              <w:rPr>
                <w:sz w:val="18"/>
              </w:rPr>
              <w:t>6.0</w:t>
            </w:r>
          </w:p>
        </w:tc>
        <w:tc>
          <w:tcPr>
            <w:tcW w:type="dxa" w:w="864"/>
          </w:tcPr>
          <w:p>
            <w:pPr>
              <w:spacing w:after="20" w:line="240" w:lineRule="auto"/>
            </w:pPr>
            <w:r>
              <w:rPr>
                <w:sz w:val="18"/>
              </w:rPr>
              <w:t>8.0</w:t>
            </w:r>
          </w:p>
        </w:tc>
        <w:tc>
          <w:tcPr>
            <w:tcW w:type="dxa" w:w="4493"/>
          </w:tcPr>
          <w:p>
            <w:pPr>
              <w:spacing w:after="20" w:line="240" w:lineRule="auto"/>
            </w:pPr>
            <w:r>
              <w:rPr>
                <w:sz w:val="18"/>
              </w:rPr>
              <w:t>Customer detail sent to Synopsys competitors; title/date mismatch; positioned as a formal specialist, which you can't yet defend in depth</w:t>
            </w:r>
          </w:p>
        </w:tc>
      </w:tr>
      <w:tr>
        <w:trPr>
          <w:cantSplit/>
        </w:trPr>
        <w:tc>
          <w:tcPr>
            <w:tcW w:type="dxa" w:w="2520"/>
            <w:shd w:val="clear" w:color="auto" w:fill="F3F6FB"/>
          </w:tcPr>
          <w:p>
            <w:pPr>
              <w:spacing w:after="20" w:line="240" w:lineRule="auto"/>
            </w:pPr>
            <w:r>
              <w:rPr>
                <w:b/>
                <w:sz w:val="18"/>
              </w:rPr>
              <w:t>Chip companies' CAD / tools / methodology teams</w:t>
            </w:r>
            <w:r>
              <w:rPr>
                <w:sz w:val="18"/>
              </w:rPr>
              <w:t xml:space="preserve"> (Nvidia, AMD, Intel, Qualcomm)</w:t>
            </w:r>
          </w:p>
        </w:tc>
        <w:tc>
          <w:tcPr>
            <w:tcW w:type="dxa" w:w="1296"/>
            <w:shd w:val="clear" w:color="auto" w:fill="F3F6FB"/>
          </w:tcPr>
          <w:p>
            <w:pPr>
              <w:spacing w:after="20" w:line="240" w:lineRule="auto"/>
            </w:pPr>
            <w:r>
              <w:rPr>
                <w:sz w:val="18"/>
              </w:rPr>
              <w:t>Near bar</w:t>
            </w:r>
          </w:p>
        </w:tc>
        <w:tc>
          <w:tcPr>
            <w:tcW w:type="dxa" w:w="720"/>
            <w:shd w:val="clear" w:color="auto" w:fill="F3F6FB"/>
          </w:tcPr>
          <w:p>
            <w:pPr>
              <w:spacing w:after="20" w:line="240" w:lineRule="auto"/>
            </w:pPr>
            <w:r>
              <w:rPr>
                <w:sz w:val="18"/>
              </w:rPr>
              <w:t>6.0</w:t>
            </w:r>
          </w:p>
        </w:tc>
        <w:tc>
          <w:tcPr>
            <w:tcW w:type="dxa" w:w="864"/>
            <w:shd w:val="clear" w:color="auto" w:fill="F3F6FB"/>
          </w:tcPr>
          <w:p>
            <w:pPr>
              <w:spacing w:after="20" w:line="240" w:lineRule="auto"/>
            </w:pPr>
            <w:r>
              <w:rPr>
                <w:sz w:val="18"/>
              </w:rPr>
              <w:t>8.0</w:t>
            </w:r>
          </w:p>
        </w:tc>
        <w:tc>
          <w:tcPr>
            <w:tcW w:type="dxa" w:w="4493"/>
            <w:shd w:val="clear" w:color="auto" w:fill="F3F6FB"/>
          </w:tcPr>
          <w:p>
            <w:pPr>
              <w:spacing w:after="20" w:line="240" w:lineRule="auto"/>
            </w:pPr>
            <w:r>
              <w:rPr>
                <w:sz w:val="18"/>
              </w:rPr>
              <w:t>Same as EDA. Use a names-restored copy: their formal teams are your customers</w:t>
            </w:r>
          </w:p>
        </w:tc>
      </w:tr>
      <w:tr>
        <w:trPr>
          <w:cantSplit/>
        </w:trPr>
        <w:tc>
          <w:tcPr>
            <w:tcW w:type="dxa" w:w="2520"/>
          </w:tcPr>
          <w:p>
            <w:pPr>
              <w:spacing w:after="20" w:line="240" w:lineRule="auto"/>
            </w:pPr>
            <w:r>
              <w:rPr>
                <w:b/>
                <w:sz w:val="18"/>
              </w:rPr>
              <w:t>FAANG-tier Senior</w:t>
            </w:r>
            <w:r>
              <w:rPr>
                <w:sz w:val="18"/>
              </w:rPr>
              <w:t xml:space="preserve"> (Google L5, Microsoft 63-64, Meta E5)</w:t>
            </w:r>
          </w:p>
        </w:tc>
        <w:tc>
          <w:tcPr>
            <w:tcW w:type="dxa" w:w="1296"/>
          </w:tcPr>
          <w:p>
            <w:pPr>
              <w:spacing w:after="20" w:line="240" w:lineRule="auto"/>
            </w:pPr>
            <w:r>
              <w:rPr>
                <w:sz w:val="18"/>
              </w:rPr>
              <w:t>At bar</w:t>
            </w:r>
          </w:p>
        </w:tc>
        <w:tc>
          <w:tcPr>
            <w:tcW w:type="dxa" w:w="720"/>
          </w:tcPr>
          <w:p>
            <w:pPr>
              <w:spacing w:after="20" w:line="240" w:lineRule="auto"/>
            </w:pPr>
            <w:r>
              <w:rPr>
                <w:sz w:val="18"/>
              </w:rPr>
              <w:t>6.5</w:t>
            </w:r>
          </w:p>
        </w:tc>
        <w:tc>
          <w:tcPr>
            <w:tcW w:type="dxa" w:w="864"/>
          </w:tcPr>
          <w:p>
            <w:pPr>
              <w:spacing w:after="20" w:line="240" w:lineRule="auto"/>
            </w:pPr>
            <w:r>
              <w:rPr>
                <w:sz w:val="18"/>
              </w:rPr>
              <w:t>8.0</w:t>
            </w:r>
          </w:p>
        </w:tc>
        <w:tc>
          <w:tcPr>
            <w:tcW w:type="dxa" w:w="4493"/>
          </w:tcPr>
          <w:p>
            <w:pPr>
              <w:spacing w:after="20" w:line="240" w:lineRule="auto"/>
            </w:pPr>
            <w:r>
              <w:rPr>
                <w:sz w:val="18"/>
              </w:rPr>
              <w:t>Credibility gaps: the AI 'platform', the Go prototypes, 'driving' 1.5M to 4.2M</w:t>
            </w:r>
          </w:p>
        </w:tc>
      </w:tr>
      <w:tr>
        <w:trPr>
          <w:cantSplit/>
        </w:trPr>
        <w:tc>
          <w:tcPr>
            <w:tcW w:type="dxa" w:w="2520"/>
            <w:shd w:val="clear" w:color="auto" w:fill="F3F6FB"/>
          </w:tcPr>
          <w:p>
            <w:pPr>
              <w:spacing w:after="20" w:line="240" w:lineRule="auto"/>
            </w:pPr>
            <w:r>
              <w:rPr>
                <w:b/>
                <w:sz w:val="18"/>
              </w:rPr>
              <w:t>FAANG-tier Staff</w:t>
            </w:r>
            <w:r>
              <w:rPr>
                <w:sz w:val="18"/>
              </w:rPr>
              <w:t xml:space="preserve"> (Google L6, Microsoft 65, Meta E6)</w:t>
            </w:r>
          </w:p>
        </w:tc>
        <w:tc>
          <w:tcPr>
            <w:tcW w:type="dxa" w:w="1296"/>
            <w:shd w:val="clear" w:color="auto" w:fill="F3F6FB"/>
          </w:tcPr>
          <w:p>
            <w:pPr>
              <w:spacing w:after="20" w:line="240" w:lineRule="auto"/>
            </w:pPr>
            <w:r>
              <w:rPr>
                <w:sz w:val="18"/>
              </w:rPr>
              <w:t>Below bar</w:t>
            </w:r>
          </w:p>
        </w:tc>
        <w:tc>
          <w:tcPr>
            <w:tcW w:type="dxa" w:w="720"/>
            <w:shd w:val="clear" w:color="auto" w:fill="F3F6FB"/>
          </w:tcPr>
          <w:p>
            <w:pPr>
              <w:spacing w:after="20" w:line="240" w:lineRule="auto"/>
            </w:pPr>
            <w:r>
              <w:rPr>
                <w:sz w:val="18"/>
              </w:rPr>
              <w:t>4.5</w:t>
            </w:r>
          </w:p>
        </w:tc>
        <w:tc>
          <w:tcPr>
            <w:tcW w:type="dxa" w:w="864"/>
            <w:shd w:val="clear" w:color="auto" w:fill="F3F6FB"/>
          </w:tcPr>
          <w:p>
            <w:pPr>
              <w:spacing w:after="20" w:line="240" w:lineRule="auto"/>
            </w:pPr>
            <w:r>
              <w:rPr>
                <w:sz w:val="18"/>
              </w:rPr>
              <w:t>6.5</w:t>
            </w:r>
          </w:p>
        </w:tc>
        <w:tc>
          <w:tcPr>
            <w:tcW w:type="dxa" w:w="4493"/>
            <w:shd w:val="clear" w:color="auto" w:fill="F3F6FB"/>
          </w:tcPr>
          <w:p>
            <w:pPr>
              <w:spacing w:after="20" w:line="240" w:lineRule="auto"/>
            </w:pPr>
            <w:r>
              <w:rPr>
                <w:sz w:val="18"/>
              </w:rPr>
              <w:t>Scope: one subsystem plus one refactor adopted by 2 engineers. No multi-team direction, no design docs others build from, no org-level outcome on the page</w:t>
            </w:r>
          </w:p>
        </w:tc>
      </w:tr>
      <w:tr>
        <w:trPr>
          <w:cantSplit/>
        </w:trPr>
        <w:tc>
          <w:tcPr>
            <w:tcW w:type="dxa" w:w="2520"/>
          </w:tcPr>
          <w:p>
            <w:pPr>
              <w:spacing w:after="20" w:line="240" w:lineRule="auto"/>
            </w:pPr>
            <w:r>
              <w:rPr>
                <w:b/>
                <w:sz w:val="18"/>
              </w:rPr>
              <w:t>Principal / Senior Staff</w:t>
            </w:r>
            <w:r>
              <w:rPr>
                <w:sz w:val="18"/>
              </w:rPr>
              <w:t xml:space="preserve"> (Google L7, Microsoft 66+, Meta E7)</w:t>
            </w:r>
          </w:p>
        </w:tc>
        <w:tc>
          <w:tcPr>
            <w:tcW w:type="dxa" w:w="1296"/>
          </w:tcPr>
          <w:p>
            <w:pPr>
              <w:spacing w:after="20" w:line="240" w:lineRule="auto"/>
            </w:pPr>
            <w:r>
              <w:rPr>
                <w:sz w:val="18"/>
              </w:rPr>
              <w:t>Out of range</w:t>
            </w:r>
          </w:p>
        </w:tc>
        <w:tc>
          <w:tcPr>
            <w:tcW w:type="dxa" w:w="720"/>
          </w:tcPr>
          <w:p>
            <w:pPr>
              <w:spacing w:after="20" w:line="240" w:lineRule="auto"/>
            </w:pPr>
            <w:r>
              <w:rPr>
                <w:sz w:val="18"/>
              </w:rPr>
              <w:t>3.0</w:t>
            </w:r>
          </w:p>
        </w:tc>
        <w:tc>
          <w:tcPr>
            <w:tcW w:type="dxa" w:w="864"/>
          </w:tcPr>
          <w:p>
            <w:pPr>
              <w:spacing w:after="20" w:line="240" w:lineRule="auto"/>
            </w:pPr>
            <w:r>
              <w:rPr>
                <w:sz w:val="18"/>
              </w:rPr>
              <w:t>4.0</w:t>
            </w:r>
          </w:p>
        </w:tc>
        <w:tc>
          <w:tcPr>
            <w:tcW w:type="dxa" w:w="4493"/>
          </w:tcPr>
          <w:p>
            <w:pPr>
              <w:spacing w:after="20" w:line="240" w:lineRule="auto"/>
            </w:pPr>
            <w:r>
              <w:rPr>
                <w:sz w:val="18"/>
              </w:rPr>
              <w:t>Needs multi-org technical direction. Don't aim the resume here this cycle</w:t>
            </w:r>
          </w:p>
        </w:tc>
      </w:tr>
      <w:tr>
        <w:trPr>
          <w:cantSplit/>
        </w:trPr>
        <w:tc>
          <w:tcPr>
            <w:tcW w:type="dxa" w:w="2520"/>
            <w:shd w:val="clear" w:color="auto" w:fill="F3F6FB"/>
          </w:tcPr>
          <w:p>
            <w:pPr>
              <w:spacing w:after="20" w:line="240" w:lineRule="auto"/>
            </w:pPr>
            <w:r>
              <w:rPr>
                <w:b/>
                <w:sz w:val="18"/>
              </w:rPr>
              <w:t>Cloud / backend Staff</w:t>
            </w:r>
            <w:r>
              <w:rPr>
                <w:sz w:val="18"/>
              </w:rPr>
              <w:t xml:space="preserve"> (Atlassian, Salesforce, Amazon)</w:t>
            </w:r>
          </w:p>
        </w:tc>
        <w:tc>
          <w:tcPr>
            <w:tcW w:type="dxa" w:w="1296"/>
            <w:shd w:val="clear" w:color="auto" w:fill="F3F6FB"/>
          </w:tcPr>
          <w:p>
            <w:pPr>
              <w:spacing w:after="20" w:line="240" w:lineRule="auto"/>
            </w:pPr>
            <w:r>
              <w:rPr>
                <w:sz w:val="18"/>
              </w:rPr>
              <w:t>Below bar, wrong shape</w:t>
            </w:r>
          </w:p>
        </w:tc>
        <w:tc>
          <w:tcPr>
            <w:tcW w:type="dxa" w:w="720"/>
            <w:shd w:val="clear" w:color="auto" w:fill="F3F6FB"/>
          </w:tcPr>
          <w:p>
            <w:pPr>
              <w:spacing w:after="20" w:line="240" w:lineRule="auto"/>
            </w:pPr>
            <w:r>
              <w:rPr>
                <w:sz w:val="18"/>
              </w:rPr>
              <w:t>4.0</w:t>
            </w:r>
          </w:p>
        </w:tc>
        <w:tc>
          <w:tcPr>
            <w:tcW w:type="dxa" w:w="864"/>
            <w:shd w:val="clear" w:color="auto" w:fill="F3F6FB"/>
          </w:tcPr>
          <w:p>
            <w:pPr>
              <w:spacing w:after="20" w:line="240" w:lineRule="auto"/>
            </w:pPr>
            <w:r>
              <w:rPr>
                <w:sz w:val="18"/>
              </w:rPr>
              <w:t>5.0</w:t>
            </w:r>
          </w:p>
        </w:tc>
        <w:tc>
          <w:tcPr>
            <w:tcW w:type="dxa" w:w="4493"/>
            <w:shd w:val="clear" w:color="auto" w:fill="F3F6FB"/>
          </w:tcPr>
          <w:p>
            <w:pPr>
              <w:spacing w:after="20" w:line="240" w:lineRule="auto"/>
            </w:pPr>
            <w:r>
              <w:rPr>
                <w:sz w:val="18"/>
              </w:rPr>
              <w:t>Production distributed-systems evidence is one C# service you 'contributed to'</w:t>
            </w:r>
          </w:p>
        </w:tc>
      </w:tr>
    </w:tbl>
    <w:p>
      <w:pPr>
        <w:spacing w:after="40"/>
      </w:pPr>
    </w:p>
    <w:p>
      <w:r>
        <w:rPr>
          <w:color w:val="5F6B7A"/>
          <w:sz w:val="18"/>
        </w:rPr>
        <w:t>*After = redlines accepted and the [confirm] items answered honestly, including 'no number exists'. Scores are out of 10 against that track's bar, not a general quality score. Your 8-8.5 target is reachable for the EDA, chip-company and FAANG-Senior tracks. It is not reachable for FAANG Staff through wording alone.</w:t>
      </w:r>
    </w:p>
    <w:p>
      <w:r>
        <w:rPr>
          <w:b/>
        </w:rPr>
        <w:t>How FAANG will level you.</w:t>
      </w:r>
      <w:r>
        <w:t xml:space="preserve"> Recruiters anchor on your last FAANG-tier title (Microsoft SWE II, 2021-23, at years 6-8), then read the Synopsys section to see whether it justifies a jump. A Synopsys 'Staff' title doesn't transfer 1:1; in most FAANG calibrations it sits closer to Senior. So the Synopsys bullets must make the Staff case on their own, and today they make about half of it. In practice: expect Senior-level offers from Google, Microsoft and Meta (you've said Microsoft Senior SWE is fine), and aim Staff applications where Synopsys Staff maps more directly: Cadence, Siemens, Adobe, and the chip companies' software and CAD teams.</w:t>
      </w:r>
    </w:p>
    <w:p>
      <w:pPr>
        <w:pStyle w:val="Heading1"/>
      </w:pPr>
      <w:r>
        <w:t>2. Format review and rating: 7 / 10</w:t>
      </w:r>
    </w:p>
    <w:p>
      <w:r>
        <w:rPr>
          <w:b/>
        </w:rPr>
        <w:t>Keep the format.</w:t>
      </w:r>
      <w:r>
        <w:t xml:space="preserve"> It's a clean, conventional, ATS-safe single-column layout, and Word 2010's PDF export preserves it. I verified this by exporting both files through your Word and extracting the PDF text layer. The problems are space allocation and a few small defects, not the design.</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720"/>
        <w:gridCol w:w="4176"/>
        <w:gridCol w:w="3268"/>
      </w:tblGrid>
      <w:tr>
        <w:trPr>
          <w:tblHeader w:val="true"/>
          <w:cantSplit/>
        </w:trPr>
        <w:tc>
          <w:tcPr>
            <w:tcW w:type="dxa" w:w="1728"/>
            <w:shd w:val="clear" w:color="auto" w:fill="3C78D8"/>
          </w:tcPr>
          <w:p>
            <w:pPr>
              <w:spacing w:after="20" w:line="240" w:lineRule="auto"/>
            </w:pPr>
            <w:r>
              <w:rPr>
                <w:b/>
                <w:color w:val="FFFFFF"/>
                <w:sz w:val="18"/>
              </w:rPr>
              <w:t>Dimension</w:t>
            </w:r>
          </w:p>
        </w:tc>
        <w:tc>
          <w:tcPr>
            <w:tcW w:type="dxa" w:w="720"/>
            <w:shd w:val="clear" w:color="auto" w:fill="3C78D8"/>
          </w:tcPr>
          <w:p>
            <w:pPr>
              <w:spacing w:after="20" w:line="240" w:lineRule="auto"/>
            </w:pPr>
            <w:r>
              <w:rPr>
                <w:b/>
                <w:color w:val="FFFFFF"/>
                <w:sz w:val="18"/>
              </w:rPr>
              <w:t>Score</w:t>
            </w:r>
          </w:p>
        </w:tc>
        <w:tc>
          <w:tcPr>
            <w:tcW w:type="dxa" w:w="4176"/>
            <w:shd w:val="clear" w:color="auto" w:fill="3C78D8"/>
          </w:tcPr>
          <w:p>
            <w:pPr>
              <w:spacing w:after="20" w:line="240" w:lineRule="auto"/>
            </w:pPr>
            <w:r>
              <w:rPr>
                <w:b/>
                <w:color w:val="FFFFFF"/>
                <w:sz w:val="18"/>
              </w:rPr>
              <w:t>Evidence (Word render)</w:t>
            </w:r>
          </w:p>
        </w:tc>
        <w:tc>
          <w:tcPr>
            <w:tcW w:type="dxa" w:w="3269"/>
            <w:shd w:val="clear" w:color="auto" w:fill="3C78D8"/>
          </w:tcPr>
          <w:p>
            <w:pPr>
              <w:spacing w:after="20" w:line="240" w:lineRule="auto"/>
            </w:pPr>
            <w:r>
              <w:rPr>
                <w:b/>
                <w:color w:val="FFFFFF"/>
                <w:sz w:val="18"/>
              </w:rPr>
              <w:t>Fix</w:t>
            </w:r>
          </w:p>
        </w:tc>
      </w:tr>
      <w:tr>
        <w:trPr>
          <w:cantSplit/>
        </w:trPr>
        <w:tc>
          <w:tcPr>
            <w:tcW w:type="dxa" w:w="1728"/>
          </w:tcPr>
          <w:p>
            <w:pPr>
              <w:spacing w:after="20" w:line="240" w:lineRule="auto"/>
            </w:pPr>
            <w:r>
              <w:rPr>
                <w:sz w:val="18"/>
              </w:rPr>
              <w:t>ATS parsing</w:t>
            </w:r>
          </w:p>
        </w:tc>
        <w:tc>
          <w:tcPr>
            <w:tcW w:type="dxa" w:w="720"/>
          </w:tcPr>
          <w:p>
            <w:pPr>
              <w:spacing w:after="20" w:line="240" w:lineRule="auto"/>
            </w:pPr>
            <w:r>
              <w:rPr>
                <w:sz w:val="18"/>
              </w:rPr>
              <w:t>9</w:t>
            </w:r>
          </w:p>
        </w:tc>
        <w:tc>
          <w:tcPr>
            <w:tcW w:type="dxa" w:w="4176"/>
          </w:tcPr>
          <w:p>
            <w:pPr>
              <w:spacing w:after="20" w:line="240" w:lineRule="auto"/>
            </w:pPr>
            <w:r>
              <w:rPr>
                <w:sz w:val="18"/>
              </w:rPr>
              <w:t>Single column, no tables or text boxes, headings are plain text, reading order intact in the PDF text layer, Calibri embedded</w:t>
            </w:r>
          </w:p>
        </w:tc>
        <w:tc>
          <w:tcPr>
            <w:tcW w:type="dxa" w:w="3269"/>
          </w:tcPr>
          <w:p>
            <w:pPr>
              <w:spacing w:after="20" w:line="240" w:lineRule="auto"/>
            </w:pPr>
            <w:r>
              <w:rPr>
                <w:sz w:val="18"/>
              </w:rPr>
              <w:t>None needed</w:t>
            </w:r>
          </w:p>
        </w:tc>
      </w:tr>
      <w:tr>
        <w:trPr>
          <w:cantSplit/>
        </w:trPr>
        <w:tc>
          <w:tcPr>
            <w:tcW w:type="dxa" w:w="1728"/>
            <w:shd w:val="clear" w:color="auto" w:fill="F3F6FB"/>
          </w:tcPr>
          <w:p>
            <w:pPr>
              <w:spacing w:after="20" w:line="240" w:lineRule="auto"/>
            </w:pPr>
            <w:r>
              <w:rPr>
                <w:sz w:val="18"/>
              </w:rPr>
              <w:t>Typography and consistency</w:t>
            </w:r>
          </w:p>
        </w:tc>
        <w:tc>
          <w:tcPr>
            <w:tcW w:type="dxa" w:w="720"/>
            <w:shd w:val="clear" w:color="auto" w:fill="F3F6FB"/>
          </w:tcPr>
          <w:p>
            <w:pPr>
              <w:spacing w:after="20" w:line="240" w:lineRule="auto"/>
            </w:pPr>
            <w:r>
              <w:rPr>
                <w:sz w:val="18"/>
              </w:rPr>
              <w:t>8</w:t>
            </w:r>
          </w:p>
        </w:tc>
        <w:tc>
          <w:tcPr>
            <w:tcW w:type="dxa" w:w="4176"/>
            <w:shd w:val="clear" w:color="auto" w:fill="F3F6FB"/>
          </w:tcPr>
          <w:p>
            <w:pPr>
              <w:spacing w:after="20" w:line="240" w:lineRule="auto"/>
            </w:pPr>
            <w:r>
              <w:rPr>
                <w:sz w:val="18"/>
              </w:rPr>
              <w:t>One family (Calibri); 16 / 11 / 10 / 9.5 pt hierarchy; blue #3C78D8 headings with a rule; right-aligned italic dates via a tab stop</w:t>
            </w:r>
          </w:p>
        </w:tc>
        <w:tc>
          <w:tcPr>
            <w:tcW w:type="dxa" w:w="3269"/>
            <w:shd w:val="clear" w:color="auto" w:fill="F3F6FB"/>
          </w:tcPr>
          <w:p>
            <w:pPr>
              <w:spacing w:after="20" w:line="240" w:lineRule="auto"/>
            </w:pPr>
            <w:r>
              <w:rPr>
                <w:sz w:val="18"/>
              </w:rPr>
              <w:t>None</w:t>
            </w:r>
          </w:p>
        </w:tc>
      </w:tr>
      <w:tr>
        <w:trPr>
          <w:cantSplit/>
        </w:trPr>
        <w:tc>
          <w:tcPr>
            <w:tcW w:type="dxa" w:w="1728"/>
          </w:tcPr>
          <w:p>
            <w:pPr>
              <w:spacing w:after="20" w:line="240" w:lineRule="auto"/>
            </w:pPr>
            <w:r>
              <w:rPr>
                <w:sz w:val="18"/>
              </w:rPr>
              <w:t>Space allocation</w:t>
            </w:r>
          </w:p>
        </w:tc>
        <w:tc>
          <w:tcPr>
            <w:tcW w:type="dxa" w:w="720"/>
          </w:tcPr>
          <w:p>
            <w:pPr>
              <w:spacing w:after="20" w:line="240" w:lineRule="auto"/>
            </w:pPr>
            <w:r>
              <w:rPr>
                <w:sz w:val="18"/>
              </w:rPr>
              <w:t>5</w:t>
            </w:r>
          </w:p>
        </w:tc>
        <w:tc>
          <w:tcPr>
            <w:tcW w:type="dxa" w:w="4176"/>
          </w:tcPr>
          <w:p>
            <w:pPr>
              <w:spacing w:after="20" w:line="240" w:lineRule="auto"/>
            </w:pPr>
            <w:r>
              <w:rPr>
                <w:sz w:val="18"/>
              </w:rPr>
              <w:t>Page 1 is a wall of 3-line bullets (median ~30 words, max 56). Page 2 is only 35-40% used. SKILLS takes the top third of page 1</w:t>
            </w:r>
          </w:p>
        </w:tc>
        <w:tc>
          <w:tcPr>
            <w:tcW w:type="dxa" w:w="3269"/>
          </w:tcPr>
          <w:p>
            <w:pPr>
              <w:spacing w:after="20" w:line="240" w:lineRule="auto"/>
            </w:pPr>
            <w:r>
              <w:rPr>
                <w:sz w:val="18"/>
              </w:rPr>
              <w:t>Bullets 2 lines max (flagship 3); SKILLS below EXPERIENCE; fill page 2 with evidence, not padding</w:t>
            </w:r>
          </w:p>
        </w:tc>
      </w:tr>
      <w:tr>
        <w:trPr>
          <w:cantSplit/>
        </w:trPr>
        <w:tc>
          <w:tcPr>
            <w:tcW w:type="dxa" w:w="1728"/>
            <w:shd w:val="clear" w:color="auto" w:fill="F3F6FB"/>
          </w:tcPr>
          <w:p>
            <w:pPr>
              <w:spacing w:after="20" w:line="240" w:lineRule="auto"/>
            </w:pPr>
            <w:r>
              <w:rPr>
                <w:sz w:val="18"/>
              </w:rPr>
              <w:t>Header / contact</w:t>
            </w:r>
          </w:p>
        </w:tc>
        <w:tc>
          <w:tcPr>
            <w:tcW w:type="dxa" w:w="720"/>
            <w:shd w:val="clear" w:color="auto" w:fill="F3F6FB"/>
          </w:tcPr>
          <w:p>
            <w:pPr>
              <w:spacing w:after="20" w:line="240" w:lineRule="auto"/>
            </w:pPr>
            <w:r>
              <w:rPr>
                <w:sz w:val="18"/>
              </w:rPr>
              <w:t>5</w:t>
            </w:r>
          </w:p>
        </w:tc>
        <w:tc>
          <w:tcPr>
            <w:tcW w:type="dxa" w:w="4176"/>
            <w:shd w:val="clear" w:color="auto" w:fill="F3F6FB"/>
          </w:tcPr>
          <w:p>
            <w:pPr>
              <w:spacing w:after="20" w:line="240" w:lineRule="auto"/>
            </w:pPr>
            <w:r>
              <w:rPr>
                <w:sz w:val="18"/>
              </w:rPr>
              <w:t>The link text reads 'LinkedIn', so the URL is invisible on paper and to text-only parsers such as Naukri's. No location. Icons include a Gmail logo</w:t>
            </w:r>
          </w:p>
        </w:tc>
        <w:tc>
          <w:tcPr>
            <w:tcW w:type="dxa" w:w="3269"/>
            <w:shd w:val="clear" w:color="auto" w:fill="F3F6FB"/>
          </w:tcPr>
          <w:p>
            <w:pPr>
              <w:spacing w:after="20" w:line="240" w:lineRule="auto"/>
            </w:pPr>
            <w:r>
              <w:rPr>
                <w:sz w:val="18"/>
              </w:rPr>
              <w:t>Print linkedin.com/in/yadavaps77; add 'Noida, India'; icons optional</w:t>
            </w:r>
          </w:p>
        </w:tc>
      </w:tr>
      <w:tr>
        <w:trPr>
          <w:cantSplit/>
        </w:trPr>
        <w:tc>
          <w:tcPr>
            <w:tcW w:type="dxa" w:w="1728"/>
          </w:tcPr>
          <w:p>
            <w:pPr>
              <w:spacing w:after="20" w:line="240" w:lineRule="auto"/>
            </w:pPr>
            <w:r>
              <w:rPr>
                <w:sz w:val="18"/>
              </w:rPr>
              <w:t>Page-break control</w:t>
            </w:r>
          </w:p>
        </w:tc>
        <w:tc>
          <w:tcPr>
            <w:tcW w:type="dxa" w:w="720"/>
          </w:tcPr>
          <w:p>
            <w:pPr>
              <w:spacing w:after="20" w:line="240" w:lineRule="auto"/>
            </w:pPr>
            <w:r>
              <w:rPr>
                <w:sz w:val="18"/>
              </w:rPr>
              <w:t>5</w:t>
            </w:r>
          </w:p>
        </w:tc>
        <w:tc>
          <w:tcPr>
            <w:tcW w:type="dxa" w:w="4176"/>
          </w:tcPr>
          <w:p>
            <w:pPr>
              <w:spacing w:after="20" w:line="240" w:lineRule="auto"/>
            </w:pPr>
            <w:r>
              <w:rPr>
                <w:sz w:val="18"/>
              </w:rPr>
              <w:t>FAANG file: the Adobe role header is the last line of page 1 and its bullets start page 2</w:t>
            </w:r>
          </w:p>
        </w:tc>
        <w:tc>
          <w:tcPr>
            <w:tcW w:type="dxa" w:w="3269"/>
          </w:tcPr>
          <w:p>
            <w:pPr>
              <w:spacing w:after="20" w:line="240" w:lineRule="auto"/>
            </w:pPr>
            <w:r>
              <w:rPr>
                <w:sz w:val="18"/>
              </w:rPr>
              <w:t>'Keep with next' on every role-header line</w:t>
            </w:r>
          </w:p>
        </w:tc>
      </w:tr>
      <w:tr>
        <w:trPr>
          <w:cantSplit/>
        </w:trPr>
        <w:tc>
          <w:tcPr>
            <w:tcW w:type="dxa" w:w="1728"/>
            <w:shd w:val="clear" w:color="auto" w:fill="F3F6FB"/>
          </w:tcPr>
          <w:p>
            <w:pPr>
              <w:spacing w:after="20" w:line="240" w:lineRule="auto"/>
            </w:pPr>
            <w:r>
              <w:rPr>
                <w:sz w:val="18"/>
              </w:rPr>
              <w:t>Typographic polish</w:t>
            </w:r>
          </w:p>
        </w:tc>
        <w:tc>
          <w:tcPr>
            <w:tcW w:type="dxa" w:w="720"/>
            <w:shd w:val="clear" w:color="auto" w:fill="F3F6FB"/>
          </w:tcPr>
          <w:p>
            <w:pPr>
              <w:spacing w:after="20" w:line="240" w:lineRule="auto"/>
            </w:pPr>
            <w:r>
              <w:rPr>
                <w:sz w:val="18"/>
              </w:rPr>
              <w:t>6</w:t>
            </w:r>
          </w:p>
        </w:tc>
        <w:tc>
          <w:tcPr>
            <w:tcW w:type="dxa" w:w="4176"/>
            <w:shd w:val="clear" w:color="auto" w:fill="F3F6FB"/>
          </w:tcPr>
          <w:p>
            <w:pPr>
              <w:spacing w:after="20" w:line="240" w:lineRule="auto"/>
            </w:pPr>
            <w:r>
              <w:rPr>
                <w:sz w:val="18"/>
              </w:rPr>
              <w:t>Bullets are typed '- ' with a manual hanging indent, not Word lists. ASCII '-&gt;' arrows. 'sev-2' and 'formal-verification' break across lines at the hyphen</w:t>
            </w:r>
          </w:p>
        </w:tc>
        <w:tc>
          <w:tcPr>
            <w:tcW w:type="dxa" w:w="3269"/>
            <w:shd w:val="clear" w:color="auto" w:fill="F3F6FB"/>
          </w:tcPr>
          <w:p>
            <w:pPr>
              <w:spacing w:after="20" w:line="240" w:lineRule="auto"/>
            </w:pPr>
            <w:r>
              <w:rPr>
                <w:sz w:val="18"/>
              </w:rPr>
              <w:t>Keep '- ' if you like the look; write 'to' instead of '-&gt;'; non-breaking hyphen (Ctrl+Shift+-) in 'sev-2'</w:t>
            </w:r>
          </w:p>
        </w:tc>
      </w:tr>
      <w:tr>
        <w:trPr>
          <w:cantSplit/>
        </w:trPr>
        <w:tc>
          <w:tcPr>
            <w:tcW w:type="dxa" w:w="1728"/>
          </w:tcPr>
          <w:p>
            <w:pPr>
              <w:spacing w:after="20" w:line="240" w:lineRule="auto"/>
            </w:pPr>
            <w:r>
              <w:rPr>
                <w:sz w:val="18"/>
              </w:rPr>
              <w:t>Page size</w:t>
            </w:r>
          </w:p>
        </w:tc>
        <w:tc>
          <w:tcPr>
            <w:tcW w:type="dxa" w:w="720"/>
          </w:tcPr>
          <w:p>
            <w:pPr>
              <w:spacing w:after="20" w:line="240" w:lineRule="auto"/>
            </w:pPr>
            <w:r>
              <w:rPr>
                <w:sz w:val="18"/>
              </w:rPr>
              <w:t>6</w:t>
            </w:r>
          </w:p>
        </w:tc>
        <w:tc>
          <w:tcPr>
            <w:tcW w:type="dxa" w:w="4176"/>
          </w:tcPr>
          <w:p>
            <w:pPr>
              <w:spacing w:after="20" w:line="240" w:lineRule="auto"/>
            </w:pPr>
            <w:r>
              <w:rPr>
                <w:sz w:val="18"/>
              </w:rPr>
              <w:t>US Letter. India prints A4, so printed copies scale down</w:t>
            </w:r>
          </w:p>
        </w:tc>
        <w:tc>
          <w:tcPr>
            <w:tcW w:type="dxa" w:w="3269"/>
          </w:tcPr>
          <w:p>
            <w:pPr>
              <w:spacing w:after="20" w:line="240" w:lineRule="auto"/>
            </w:pPr>
            <w:r>
              <w:rPr>
                <w:sz w:val="18"/>
              </w:rPr>
              <w:t>A4 for an India-only search</w:t>
            </w:r>
          </w:p>
        </w:tc>
      </w:tr>
      <w:tr>
        <w:trPr>
          <w:cantSplit/>
        </w:trPr>
        <w:tc>
          <w:tcPr>
            <w:tcW w:type="dxa" w:w="1728"/>
            <w:shd w:val="clear" w:color="auto" w:fill="F3F6FB"/>
          </w:tcPr>
          <w:p>
            <w:pPr>
              <w:spacing w:after="20" w:line="240" w:lineRule="auto"/>
            </w:pPr>
            <w:r>
              <w:rPr>
                <w:sz w:val="18"/>
              </w:rPr>
              <w:t>File hygiene</w:t>
            </w:r>
          </w:p>
        </w:tc>
        <w:tc>
          <w:tcPr>
            <w:tcW w:type="dxa" w:w="720"/>
            <w:shd w:val="clear" w:color="auto" w:fill="F3F6FB"/>
          </w:tcPr>
          <w:p>
            <w:pPr>
              <w:spacing w:after="20" w:line="240" w:lineRule="auto"/>
            </w:pPr>
            <w:r>
              <w:rPr>
                <w:sz w:val="18"/>
              </w:rPr>
              <w:t>4</w:t>
            </w:r>
          </w:p>
        </w:tc>
        <w:tc>
          <w:tcPr>
            <w:tcW w:type="dxa" w:w="4176"/>
            <w:shd w:val="clear" w:color="auto" w:fill="F3F6FB"/>
          </w:tcPr>
          <w:p>
            <w:pPr>
              <w:spacing w:after="20" w:line="240" w:lineRule="auto"/>
            </w:pPr>
            <w:r>
              <w:rPr>
                <w:sz w:val="18"/>
              </w:rPr>
              <w:t>The name 'resume-faang-atlassian-2page' tells Google it's a template aimed at someone else. Doc properties say creator 'python-docx'</w:t>
            </w:r>
          </w:p>
        </w:tc>
        <w:tc>
          <w:tcPr>
            <w:tcW w:type="dxa" w:w="3269"/>
            <w:shd w:val="clear" w:color="auto" w:fill="F3F6FB"/>
          </w:tcPr>
          <w:p>
            <w:pPr>
              <w:spacing w:after="20" w:line="240" w:lineRule="auto"/>
            </w:pPr>
            <w:r>
              <w:rPr>
                <w:sz w:val="18"/>
              </w:rPr>
              <w:t>Always send 'Anuj_Pratap_Singh_Yadav_Resume.pdf'; set File &gt; Properties</w:t>
            </w:r>
          </w:p>
        </w:tc>
      </w:tr>
    </w:tbl>
    <w:p>
      <w:pPr>
        <w:spacing w:after="40"/>
      </w:pPr>
    </w:p>
    <w:p>
      <w:r>
        <w:rPr>
          <w:sz w:val="20"/>
        </w:rPr>
        <w:t>Length: two pages is right at 11 years. After the rewrites, page 2 drops to about a fifth. Fill it with the answers to section 7's questions, not with more skills or older Adobe detail. A 1.2-page resume looks unfinished; a dense 1.7-2 pages looks deliberate.</w:t>
      </w:r>
    </w:p>
    <w:p>
      <w:pPr>
        <w:pStyle w:val="Heading1"/>
      </w:pPr>
      <w:r>
        <w:t>3. Top five systemic issues</w:t>
      </w:r>
    </w:p>
    <w:p>
      <w:pPr>
        <w:spacing w:after="60"/>
        <w:ind w:left="432" w:hanging="317"/>
      </w:pPr>
      <w:r>
        <w:rPr>
          <w:b/>
        </w:rPr>
        <w:t xml:space="preserve">1.  </w:t>
      </w:r>
      <w:r>
        <w:rPr>
          <w:b/>
        </w:rPr>
        <w:t>Bullets describe execution, not scope or judgment.</w:t>
      </w:r>
      <w:r>
        <w:t xml:space="preserve"> Of the 7 Synopsys bullets, 6 open with an execution verb (Own, Architected, Led delivery, Delivered x2, Owned, Built). None states a trade-off you chose. One mentions another engineer (the Taiwan team). The numbers that do exist have no unit a reader can interpret: 132 to 34 of what? 76% of what? 8+ issues out of how many? A Staff panel reads for three things: decisions and why, other people's work changed by yours, and direction you set. Your notes have all three for the decoupling work; the page has none of them.</w:t>
      </w:r>
    </w:p>
    <w:p>
      <w:pPr>
        <w:spacing w:after="60"/>
        <w:ind w:left="432" w:hanging="317"/>
      </w:pPr>
      <w:r>
        <w:rPr>
          <w:b/>
        </w:rPr>
        <w:t xml:space="preserve">2.  </w:t>
      </w:r>
      <w:r>
        <w:rPr>
          <w:b/>
        </w:rPr>
        <w:t>Five claims break on the first follow-up question, and one broken claim discounts every other line.</w:t>
      </w:r>
      <w:r>
        <w:t xml:space="preserve"> (a) The AI 'engineering-productivity platform': you're the only user. (b) Go 'runnable prototypes' and 'Go (study repo)': nothing is public. (c) Staff since May 2023: LinkedIn and HR say Feb 2024. (d) 'Driving' recording sessions from 1.5M to 4.2M: 2021 remote-work growth, a large team, your first months in the role, and a metric whose name differs across your own sources. (e) 'Distributed systems, event-driven architectures' as a skill, backed by one service you contributed to. Smaller versions of the same problem: 'LLVM-adjacent' and 'every major chipmaker'.</w:t>
      </w:r>
    </w:p>
    <w:p>
      <w:pPr>
        <w:spacing w:after="60"/>
        <w:ind w:left="432" w:hanging="317"/>
      </w:pPr>
      <w:r>
        <w:rPr>
          <w:b/>
        </w:rPr>
        <w:t xml:space="preserve">3.  </w:t>
      </w:r>
      <w:r>
        <w:rPr>
          <w:b/>
        </w:rPr>
        <w:t>The customer roster is overused, and for EDA it's a judgment flag.</w:t>
      </w:r>
      <w:r>
        <w:t xml:space="preserve"> The 8 names appear 3 times in each file, and the EDA save_covdb bullet adds per-customer fix detail. To Cadence and Siemens that reads as 'will share our customers too' before anyone reaches your skills. On every track it spends 2-3 lines that leadership evidence should use.</w:t>
      </w:r>
    </w:p>
    <w:p>
      <w:pPr>
        <w:spacing w:after="60"/>
        <w:ind w:left="432" w:hanging="317"/>
      </w:pPr>
      <w:r>
        <w:rPr>
          <w:b/>
        </w:rPr>
        <w:t xml:space="preserve">4.  </w:t>
      </w:r>
      <w:r>
        <w:rPr>
          <w:b/>
        </w:rPr>
        <w:t>The two variants differ in vocabulary, not positioning.</w:t>
      </w:r>
      <w:r>
        <w:t xml:space="preserve"> About 70% of the text is identical (Microsoft, Adobe, Education and Awards verbatim; the Synopsys bullets are the same facts with jargon swapped). The FAANG file is an EDA resume with de-jargoned nouns. It opens with 'full-stack', which a FAANG screener reads as web. And it's named for Atlassian, a Java / cloud-SaaS shop where this profile is weakest. Positioning should change per track (section 4); today it doesn't.</w:t>
      </w:r>
    </w:p>
    <w:p>
      <w:pPr>
        <w:spacing w:after="60"/>
        <w:ind w:left="432" w:hanging="317"/>
      </w:pPr>
      <w:r>
        <w:rPr>
          <w:b/>
        </w:rPr>
        <w:t xml:space="preserve">5.  </w:t>
      </w:r>
      <w:r>
        <w:rPr>
          <w:b/>
        </w:rPr>
        <w:t>The leadership evidence you have isn't on the page.</w:t>
      </w:r>
      <w:r>
        <w:t xml:space="preserve"> Missing from both files: the two engineers you mentored who now run the decoupling pattern themselves; the Nvidia formal-verification summit talk; the promotion to Staff in about 9 months; and the harness that cut licensing triage from weeks to ~2 days. There's also nothing on design reviews, interviewing, onboarding or standards you set, either because it doesn't exist or because nobody wrote it down. That's the difference between 'strong Senior' and 'Staff'. See section 7 for the questions to answer.</w:t>
      </w:r>
    </w:p>
    <w:p>
      <w:pPr>
        <w:pStyle w:val="Heading1"/>
      </w:pPr>
      <w:r>
        <w:t>4. One resume per track</w:t>
      </w:r>
    </w:p>
    <w:p>
      <w:r>
        <w:t>Today there's one EDA resume and one resume for everything else. The targets split into four shapes:</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872"/>
        <w:gridCol w:w="2088"/>
        <w:gridCol w:w="2880"/>
        <w:gridCol w:w="3052"/>
      </w:tblGrid>
      <w:tr>
        <w:trPr>
          <w:tblHeader w:val="true"/>
          <w:cantSplit/>
        </w:trPr>
        <w:tc>
          <w:tcPr>
            <w:tcW w:type="dxa" w:w="1872"/>
            <w:shd w:val="clear" w:color="auto" w:fill="3C78D8"/>
          </w:tcPr>
          <w:p>
            <w:pPr>
              <w:spacing w:after="20" w:line="240" w:lineRule="auto"/>
            </w:pPr>
            <w:r>
              <w:rPr>
                <w:b/>
                <w:color w:val="FFFFFF"/>
                <w:sz w:val="18"/>
              </w:rPr>
              <w:t>Variant</w:t>
            </w:r>
          </w:p>
        </w:tc>
        <w:tc>
          <w:tcPr>
            <w:tcW w:type="dxa" w:w="2088"/>
            <w:shd w:val="clear" w:color="auto" w:fill="3C78D8"/>
          </w:tcPr>
          <w:p>
            <w:pPr>
              <w:spacing w:after="20" w:line="240" w:lineRule="auto"/>
            </w:pPr>
            <w:r>
              <w:rPr>
                <w:b/>
                <w:color w:val="FFFFFF"/>
                <w:sz w:val="18"/>
              </w:rPr>
              <w:t>Send to</w:t>
            </w:r>
          </w:p>
        </w:tc>
        <w:tc>
          <w:tcPr>
            <w:tcW w:type="dxa" w:w="2880"/>
            <w:shd w:val="clear" w:color="auto" w:fill="3C78D8"/>
          </w:tcPr>
          <w:p>
            <w:pPr>
              <w:spacing w:after="20" w:line="240" w:lineRule="auto"/>
            </w:pPr>
            <w:r>
              <w:rPr>
                <w:b/>
                <w:color w:val="FFFFFF"/>
                <w:sz w:val="18"/>
              </w:rPr>
              <w:t>Positioning</w:t>
            </w:r>
          </w:p>
        </w:tc>
        <w:tc>
          <w:tcPr>
            <w:tcW w:type="dxa" w:w="3053"/>
            <w:shd w:val="clear" w:color="auto" w:fill="3C78D8"/>
          </w:tcPr>
          <w:p>
            <w:pPr>
              <w:spacing w:after="20" w:line="240" w:lineRule="auto"/>
            </w:pPr>
            <w:r>
              <w:rPr>
                <w:b/>
                <w:color w:val="FFFFFF"/>
                <w:sz w:val="18"/>
              </w:rPr>
              <w:t>What changes</w:t>
            </w:r>
          </w:p>
        </w:tc>
      </w:tr>
      <w:tr>
        <w:trPr>
          <w:cantSplit/>
        </w:trPr>
        <w:tc>
          <w:tcPr>
            <w:tcW w:type="dxa" w:w="1872"/>
          </w:tcPr>
          <w:p>
            <w:pPr>
              <w:spacing w:after="20" w:line="240" w:lineRule="auto"/>
            </w:pPr>
            <w:r>
              <w:rPr>
                <w:b/>
                <w:sz w:val="18"/>
              </w:rPr>
              <w:t>A. EDA, competitor-safe</w:t>
            </w:r>
          </w:p>
        </w:tc>
        <w:tc>
          <w:tcPr>
            <w:tcW w:type="dxa" w:w="2088"/>
          </w:tcPr>
          <w:p>
            <w:pPr>
              <w:spacing w:after="20" w:line="240" w:lineRule="auto"/>
            </w:pPr>
            <w:r>
              <w:rPr>
                <w:sz w:val="18"/>
              </w:rPr>
              <w:t>Cadence, Siemens EDA, other EDA vendors</w:t>
            </w:r>
          </w:p>
        </w:tc>
        <w:tc>
          <w:tcPr>
            <w:tcW w:type="dxa" w:w="2880"/>
          </w:tcPr>
          <w:p>
            <w:pPr>
              <w:spacing w:after="20" w:line="240" w:lineRule="auto"/>
            </w:pPr>
            <w:r>
              <w:rPr>
                <w:sz w:val="18"/>
              </w:rPr>
              <w:t>C++ infrastructure engineer for verification tools: coverage databases, licensing, IPC, codebase architecture</w:t>
            </w:r>
          </w:p>
        </w:tc>
        <w:tc>
          <w:tcPr>
            <w:tcW w:type="dxa" w:w="3053"/>
          </w:tcPr>
          <w:p>
            <w:pPr>
              <w:spacing w:after="20" w:line="240" w:lineRule="auto"/>
            </w:pPr>
            <w:r>
              <w:rPr>
                <w:sz w:val="18"/>
              </w:rPr>
              <w:t>Customer names out ('8 accounts'). Domain vocabulary in. Target platform / infrastructure roles, not formal-engine roles. = resume_reviewed_eda.docx</w:t>
            </w:r>
          </w:p>
        </w:tc>
      </w:tr>
      <w:tr>
        <w:trPr>
          <w:cantSplit/>
        </w:trPr>
        <w:tc>
          <w:tcPr>
            <w:tcW w:type="dxa" w:w="1872"/>
            <w:shd w:val="clear" w:color="auto" w:fill="F3F6FB"/>
          </w:tcPr>
          <w:p>
            <w:pPr>
              <w:spacing w:after="20" w:line="240" w:lineRule="auto"/>
            </w:pPr>
            <w:r>
              <w:rPr>
                <w:b/>
                <w:sz w:val="18"/>
              </w:rPr>
              <w:t>B. Chip-company tools</w:t>
            </w:r>
          </w:p>
        </w:tc>
        <w:tc>
          <w:tcPr>
            <w:tcW w:type="dxa" w:w="2088"/>
            <w:shd w:val="clear" w:color="auto" w:fill="F3F6FB"/>
          </w:tcPr>
          <w:p>
            <w:pPr>
              <w:spacing w:after="20" w:line="240" w:lineRule="auto"/>
            </w:pPr>
            <w:r>
              <w:rPr>
                <w:sz w:val="18"/>
              </w:rPr>
              <w:t>Nvidia, AMD, Intel, Qualcomm CAD, formal and methodology teams</w:t>
            </w:r>
          </w:p>
        </w:tc>
        <w:tc>
          <w:tcPr>
            <w:tcW w:type="dxa" w:w="2880"/>
            <w:shd w:val="clear" w:color="auto" w:fill="F3F6FB"/>
          </w:tcPr>
          <w:p>
            <w:pPr>
              <w:spacing w:after="20" w:line="240" w:lineRule="auto"/>
            </w:pPr>
            <w:r>
              <w:rPr>
                <w:sz w:val="18"/>
              </w:rPr>
              <w:t>A, plus direct experience supporting their formal-verification teams</w:t>
            </w:r>
          </w:p>
        </w:tc>
        <w:tc>
          <w:tcPr>
            <w:tcW w:type="dxa" w:w="3053"/>
            <w:shd w:val="clear" w:color="auto" w:fill="F3F6FB"/>
          </w:tcPr>
          <w:p>
            <w:pPr>
              <w:spacing w:after="20" w:line="240" w:lineRule="auto"/>
            </w:pPr>
            <w:r>
              <w:rPr>
                <w:sz w:val="18"/>
              </w:rPr>
              <w:t>Copy of A with the customer names restored once and the Nvidia summit talk named</w:t>
            </w:r>
          </w:p>
        </w:tc>
      </w:tr>
      <w:tr>
        <w:trPr>
          <w:cantSplit/>
        </w:trPr>
        <w:tc>
          <w:tcPr>
            <w:tcW w:type="dxa" w:w="1872"/>
          </w:tcPr>
          <w:p>
            <w:pPr>
              <w:spacing w:after="20" w:line="240" w:lineRule="auto"/>
            </w:pPr>
            <w:r>
              <w:rPr>
                <w:b/>
                <w:sz w:val="18"/>
              </w:rPr>
              <w:t>C. C++ systems / platform</w:t>
            </w:r>
          </w:p>
        </w:tc>
        <w:tc>
          <w:tcPr>
            <w:tcW w:type="dxa" w:w="2088"/>
          </w:tcPr>
          <w:p>
            <w:pPr>
              <w:spacing w:after="20" w:line="240" w:lineRule="auto"/>
            </w:pPr>
            <w:r>
              <w:rPr>
                <w:sz w:val="18"/>
              </w:rPr>
              <w:t>Google, Microsoft, Adobe, Apple, Meta infra, chip-company software teams</w:t>
            </w:r>
          </w:p>
        </w:tc>
        <w:tc>
          <w:tcPr>
            <w:tcW w:type="dxa" w:w="2880"/>
          </w:tcPr>
          <w:p>
            <w:pPr>
              <w:spacing w:after="20" w:line="240" w:lineRule="auto"/>
            </w:pPr>
            <w:r>
              <w:rPr>
                <w:sz w:val="18"/>
              </w:rPr>
              <w:t>11 years in large, long-lived C++ codebases (Photoshop Elements, Office Win32, VC Formal); a customer-facing subsystem; decoupling without a rewrite</w:t>
            </w:r>
          </w:p>
        </w:tc>
        <w:tc>
          <w:tcPr>
            <w:tcW w:type="dxa" w:w="3053"/>
          </w:tcPr>
          <w:p>
            <w:pPr>
              <w:spacing w:after="20" w:line="240" w:lineRule="auto"/>
            </w:pPr>
            <w:r>
              <w:rPr>
                <w:sz w:val="18"/>
              </w:rPr>
              <w:t>= resume_reviewed_faang.docx. No distributed-systems claims. Rename the file</w:t>
            </w:r>
          </w:p>
        </w:tc>
      </w:tr>
      <w:tr>
        <w:trPr>
          <w:cantSplit/>
        </w:trPr>
        <w:tc>
          <w:tcPr>
            <w:tcW w:type="dxa" w:w="1872"/>
            <w:shd w:val="clear" w:color="auto" w:fill="F3F6FB"/>
          </w:tcPr>
          <w:p>
            <w:pPr>
              <w:spacing w:after="20" w:line="240" w:lineRule="auto"/>
            </w:pPr>
            <w:r>
              <w:rPr>
                <w:b/>
                <w:sz w:val="18"/>
              </w:rPr>
              <w:t>D. Cloud / backend</w:t>
            </w:r>
          </w:p>
        </w:tc>
        <w:tc>
          <w:tcPr>
            <w:tcW w:type="dxa" w:w="2088"/>
            <w:shd w:val="clear" w:color="auto" w:fill="F3F6FB"/>
          </w:tcPr>
          <w:p>
            <w:pPr>
              <w:spacing w:after="20" w:line="240" w:lineRule="auto"/>
            </w:pPr>
            <w:r>
              <w:rPr>
                <w:sz w:val="18"/>
              </w:rPr>
              <w:t>Atlassian, Salesforce, Amazon</w:t>
            </w:r>
          </w:p>
        </w:tc>
        <w:tc>
          <w:tcPr>
            <w:tcW w:type="dxa" w:w="2880"/>
            <w:shd w:val="clear" w:color="auto" w:fill="F3F6FB"/>
          </w:tcPr>
          <w:p>
            <w:pPr>
              <w:spacing w:after="20" w:line="240" w:lineRule="auto"/>
            </w:pPr>
            <w:r>
              <w:rPr>
                <w:sz w:val="18"/>
              </w:rPr>
              <w:t>Don't build this one yet</w:t>
            </w:r>
          </w:p>
        </w:tc>
        <w:tc>
          <w:tcPr>
            <w:tcW w:type="dxa" w:w="3053"/>
            <w:shd w:val="clear" w:color="auto" w:fill="F3F6FB"/>
          </w:tcPr>
          <w:p>
            <w:pPr>
              <w:spacing w:after="20" w:line="240" w:lineRule="auto"/>
            </w:pPr>
            <w:r>
              <w:rPr>
                <w:sz w:val="18"/>
              </w:rPr>
              <w:t>Production distributed evidence is one C# service. Apply with C at Senior level and let the system-design round prove the rest. Revisit after 2-3 public prototypes</w:t>
            </w:r>
          </w:p>
        </w:tc>
      </w:tr>
    </w:tbl>
    <w:p>
      <w:pPr>
        <w:spacing w:after="40"/>
      </w:pPr>
    </w:p>
    <w:p>
      <w:r>
        <w:rPr>
          <w:sz w:val="20"/>
        </w:rPr>
        <w:t xml:space="preserve">Whatever the variant, the PDF you send is named </w:t>
      </w:r>
      <w:r>
        <w:rPr>
          <w:b/>
          <w:sz w:val="20"/>
        </w:rPr>
        <w:t>Anuj_Pratap_Singh_Yadav_Resume.pdf</w:t>
      </w:r>
      <w:r>
        <w:rPr>
          <w:sz w:val="20"/>
        </w:rPr>
        <w:t>.</w:t>
      </w:r>
    </w:p>
    <w:p>
      <w:pPr>
        <w:pStyle w:val="Heading1"/>
      </w:pPr>
      <w:r>
        <w:t>5. Prioritized rewrite list</w:t>
      </w:r>
    </w:p>
    <w:tbl>
      <w:tblPr>
        <w:tblW w:type="auto" w:w="0"/>
        <w:tblBorders>
          <w:top w:val="single" w:sz="8" w:space="0" w:color="D9534F"/>
          <w:left w:val="single" w:sz="8" w:space="0" w:color="D9534F"/>
          <w:bottom w:val="single" w:sz="8" w:space="0" w:color="D9534F"/>
          <w:right w:val="single" w:sz="8" w:space="0" w:color="D9534F"/>
          <w:insideH w:val="single" w:sz="8" w:space="0" w:color="D9534F"/>
          <w:insideV w:val="single" w:sz="8" w:space="0" w:color="D9534F"/>
        </w:tblBorders>
        <w:tblLayout w:type="fixed"/>
        <w:tblCellMar>
          <w:top w:w="90" w:type="dxa"/>
          <w:left w:w="140" w:type="dxa"/>
          <w:bottom w:w="90" w:type="dxa"/>
          <w:right w:w="140" w:type="dxa"/>
        </w:tblCellMar>
        <w:tblLook w:firstColumn="1" w:firstRow="1" w:lastColumn="0" w:lastRow="0" w:noHBand="0" w:noVBand="1" w:val="04A0"/>
      </w:tblPr>
      <w:tblGrid>
        <w:gridCol w:w="9893"/>
      </w:tblGrid>
      <w:tr>
        <w:tc>
          <w:tcPr>
            <w:tcW w:type="dxa" w:w="9893"/>
            <w:shd w:val="clear" w:color="auto" w:fill="FDECEA"/>
          </w:tcPr>
          <w:p>
            <w:pPr>
              <w:spacing w:after="60"/>
            </w:pPr>
            <w:r>
              <w:rPr>
                <w:b/>
                <w:sz w:val="20"/>
              </w:rPr>
              <w:t>Before any of this:</w:t>
            </w:r>
            <w:r>
              <w:rPr>
                <w:sz w:val="20"/>
              </w:rPr>
              <w:t xml:space="preserve"> the resume file on Naukri is still the 2025 version, with customer names plus what each customer designs, and the unsourced '40% setup time' claim (profile review v2, section 1.8). Every recruiter who downloads your profile gets that file, including recruiters at Synopsys competitors. Replace it, or take it down, first.</w:t>
            </w:r>
          </w:p>
        </w:tc>
      </w:tr>
    </w:tbl>
    <w:p>
      <w:pPr>
        <w:spacing w:after="40"/>
      </w:pP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432"/>
        <w:gridCol w:w="3240"/>
        <w:gridCol w:w="1368"/>
        <w:gridCol w:w="1080"/>
        <w:gridCol w:w="1036"/>
        <w:gridCol w:w="2736"/>
      </w:tblGrid>
      <w:tr>
        <w:trPr>
          <w:tblHeader w:val="true"/>
          <w:cantSplit/>
        </w:trPr>
        <w:tc>
          <w:tcPr>
            <w:tcW w:type="dxa" w:w="432"/>
            <w:shd w:val="clear" w:color="auto" w:fill="3C78D8"/>
          </w:tcPr>
          <w:p>
            <w:pPr>
              <w:spacing w:after="20" w:line="240" w:lineRule="auto"/>
            </w:pPr>
            <w:r>
              <w:rPr>
                <w:b/>
                <w:color w:val="FFFFFF"/>
                <w:sz w:val="18"/>
              </w:rPr>
              <w:t>#</w:t>
            </w:r>
          </w:p>
        </w:tc>
        <w:tc>
          <w:tcPr>
            <w:tcW w:type="dxa" w:w="3240"/>
            <w:shd w:val="clear" w:color="auto" w:fill="3C78D8"/>
          </w:tcPr>
          <w:p>
            <w:pPr>
              <w:spacing w:after="20" w:line="240" w:lineRule="auto"/>
            </w:pPr>
            <w:r>
              <w:rPr>
                <w:b/>
                <w:color w:val="FFFFFF"/>
                <w:sz w:val="18"/>
              </w:rPr>
              <w:t>Change</w:t>
            </w:r>
          </w:p>
        </w:tc>
        <w:tc>
          <w:tcPr>
            <w:tcW w:type="dxa" w:w="1368"/>
            <w:shd w:val="clear" w:color="auto" w:fill="3C78D8"/>
          </w:tcPr>
          <w:p>
            <w:pPr>
              <w:spacing w:after="20" w:line="240" w:lineRule="auto"/>
            </w:pPr>
            <w:r>
              <w:rPr>
                <w:b/>
                <w:color w:val="FFFFFF"/>
                <w:sz w:val="18"/>
              </w:rPr>
              <w:t>Files</w:t>
            </w:r>
          </w:p>
        </w:tc>
        <w:tc>
          <w:tcPr>
            <w:tcW w:type="dxa" w:w="1080"/>
            <w:shd w:val="clear" w:color="auto" w:fill="3C78D8"/>
          </w:tcPr>
          <w:p>
            <w:pPr>
              <w:spacing w:after="20" w:line="240" w:lineRule="auto"/>
            </w:pPr>
            <w:r>
              <w:rPr>
                <w:b/>
                <w:color w:val="FFFFFF"/>
                <w:sz w:val="18"/>
              </w:rPr>
              <w:t>Severity</w:t>
            </w:r>
          </w:p>
        </w:tc>
        <w:tc>
          <w:tcPr>
            <w:tcW w:type="dxa" w:w="1037"/>
            <w:shd w:val="clear" w:color="auto" w:fill="3C78D8"/>
          </w:tcPr>
          <w:p>
            <w:pPr>
              <w:spacing w:after="20" w:line="240" w:lineRule="auto"/>
            </w:pPr>
            <w:r>
              <w:rPr>
                <w:b/>
                <w:color w:val="FFFFFF"/>
                <w:sz w:val="18"/>
              </w:rPr>
              <w:t>Effort</w:t>
            </w:r>
          </w:p>
        </w:tc>
        <w:tc>
          <w:tcPr>
            <w:tcW w:type="dxa" w:w="2736"/>
            <w:shd w:val="clear" w:color="auto" w:fill="3C78D8"/>
          </w:tcPr>
          <w:p>
            <w:pPr>
              <w:spacing w:after="20" w:line="240" w:lineRule="auto"/>
            </w:pPr>
            <w:r>
              <w:rPr>
                <w:b/>
                <w:color w:val="FFFFFF"/>
                <w:sz w:val="18"/>
              </w:rPr>
              <w:t>Why now</w:t>
            </w:r>
          </w:p>
        </w:tc>
      </w:tr>
      <w:tr>
        <w:trPr>
          <w:cantSplit/>
        </w:trPr>
        <w:tc>
          <w:tcPr>
            <w:tcW w:type="dxa" w:w="432"/>
          </w:tcPr>
          <w:p>
            <w:pPr>
              <w:spacing w:after="20" w:line="240" w:lineRule="auto"/>
            </w:pPr>
            <w:r>
              <w:rPr>
                <w:sz w:val="18"/>
              </w:rPr>
              <w:t>1</w:t>
            </w:r>
          </w:p>
        </w:tc>
        <w:tc>
          <w:tcPr>
            <w:tcW w:type="dxa" w:w="3240"/>
          </w:tcPr>
          <w:p>
            <w:pPr>
              <w:spacing w:after="20" w:line="240" w:lineRule="auto"/>
            </w:pPr>
            <w:r>
              <w:rPr>
                <w:sz w:val="18"/>
              </w:rPr>
              <w:t>Synopsys titles and dates (Staff Feb 2024; Senior II May 2023 - Jan 2024). Check the Adobe titles against HR</w:t>
            </w:r>
          </w:p>
        </w:tc>
        <w:tc>
          <w:tcPr>
            <w:tcW w:type="dxa" w:w="1368"/>
          </w:tcPr>
          <w:p>
            <w:pPr>
              <w:spacing w:after="20" w:line="240" w:lineRule="auto"/>
            </w:pPr>
            <w:r>
              <w:rPr>
                <w:sz w:val="18"/>
              </w:rPr>
              <w:t>Both, LinkedIn, Naukri, cv.md</w:t>
            </w:r>
          </w:p>
        </w:tc>
        <w:tc>
          <w:tcPr>
            <w:tcW w:type="dxa" w:w="1080"/>
          </w:tcPr>
          <w:p>
            <w:pPr>
              <w:spacing w:after="20" w:line="240" w:lineRule="auto"/>
            </w:pPr>
            <w:r>
              <w:rPr>
                <w:sz w:val="18"/>
              </w:rPr>
              <w:t>CRITICAL</w:t>
            </w:r>
          </w:p>
        </w:tc>
        <w:tc>
          <w:tcPr>
            <w:tcW w:type="dxa" w:w="1037"/>
          </w:tcPr>
          <w:p>
            <w:pPr>
              <w:spacing w:after="20" w:line="240" w:lineRule="auto"/>
            </w:pPr>
            <w:r>
              <w:rPr>
                <w:sz w:val="18"/>
              </w:rPr>
              <w:t>10 min</w:t>
            </w:r>
          </w:p>
        </w:tc>
        <w:tc>
          <w:tcPr>
            <w:tcW w:type="dxa" w:w="2736"/>
          </w:tcPr>
          <w:p>
            <w:pPr>
              <w:spacing w:after="20" w:line="240" w:lineRule="auto"/>
            </w:pPr>
            <w:r>
              <w:rPr>
                <w:sz w:val="18"/>
              </w:rPr>
              <w:t>Background verification compares titles and dates; a mismatch at offer stage is the costliest failure</w:t>
            </w:r>
          </w:p>
        </w:tc>
      </w:tr>
      <w:tr>
        <w:trPr>
          <w:cantSplit/>
        </w:trPr>
        <w:tc>
          <w:tcPr>
            <w:tcW w:type="dxa" w:w="432"/>
            <w:shd w:val="clear" w:color="auto" w:fill="F3F6FB"/>
          </w:tcPr>
          <w:p>
            <w:pPr>
              <w:spacing w:after="20" w:line="240" w:lineRule="auto"/>
            </w:pPr>
            <w:r>
              <w:rPr>
                <w:sz w:val="18"/>
              </w:rPr>
              <w:t>2</w:t>
            </w:r>
          </w:p>
        </w:tc>
        <w:tc>
          <w:tcPr>
            <w:tcW w:type="dxa" w:w="3240"/>
            <w:shd w:val="clear" w:color="auto" w:fill="F3F6FB"/>
          </w:tcPr>
          <w:p>
            <w:pPr>
              <w:spacing w:after="20" w:line="240" w:lineRule="auto"/>
            </w:pPr>
            <w:r>
              <w:rPr>
                <w:sz w:val="18"/>
              </w:rPr>
              <w:t>Delete Personal Projects and 'Go (study repo)'</w:t>
            </w:r>
          </w:p>
        </w:tc>
        <w:tc>
          <w:tcPr>
            <w:tcW w:type="dxa" w:w="1368"/>
            <w:shd w:val="clear" w:color="auto" w:fill="F3F6FB"/>
          </w:tcPr>
          <w:p>
            <w:pPr>
              <w:spacing w:after="20" w:line="240" w:lineRule="auto"/>
            </w:pPr>
            <w:r>
              <w:rPr>
                <w:sz w:val="18"/>
              </w:rPr>
              <w:t>FAANG, cv.md</w:t>
            </w:r>
          </w:p>
        </w:tc>
        <w:tc>
          <w:tcPr>
            <w:tcW w:type="dxa" w:w="1080"/>
            <w:shd w:val="clear" w:color="auto" w:fill="F3F6FB"/>
          </w:tcPr>
          <w:p>
            <w:pPr>
              <w:spacing w:after="20" w:line="240" w:lineRule="auto"/>
            </w:pPr>
            <w:r>
              <w:rPr>
                <w:sz w:val="18"/>
              </w:rPr>
              <w:t>CRITICAL</w:t>
            </w:r>
          </w:p>
        </w:tc>
        <w:tc>
          <w:tcPr>
            <w:tcW w:type="dxa" w:w="1037"/>
            <w:shd w:val="clear" w:color="auto" w:fill="F3F6FB"/>
          </w:tcPr>
          <w:p>
            <w:pPr>
              <w:spacing w:after="20" w:line="240" w:lineRule="auto"/>
            </w:pPr>
            <w:r>
              <w:rPr>
                <w:sz w:val="18"/>
              </w:rPr>
              <w:t>2 min</w:t>
            </w:r>
          </w:p>
        </w:tc>
        <w:tc>
          <w:tcPr>
            <w:tcW w:type="dxa" w:w="2736"/>
            <w:shd w:val="clear" w:color="auto" w:fill="F3F6FB"/>
          </w:tcPr>
          <w:p>
            <w:pPr>
              <w:spacing w:after="20" w:line="240" w:lineRule="auto"/>
            </w:pPr>
            <w:r>
              <w:rPr>
                <w:sz w:val="18"/>
              </w:rPr>
              <w:t>Unverifiable, and it invites a cold deep dive</w:t>
            </w:r>
          </w:p>
        </w:tc>
      </w:tr>
      <w:tr>
        <w:trPr>
          <w:cantSplit/>
        </w:trPr>
        <w:tc>
          <w:tcPr>
            <w:tcW w:type="dxa" w:w="432"/>
          </w:tcPr>
          <w:p>
            <w:pPr>
              <w:spacing w:after="20" w:line="240" w:lineRule="auto"/>
            </w:pPr>
            <w:r>
              <w:rPr>
                <w:sz w:val="18"/>
              </w:rPr>
              <w:t>3</w:t>
            </w:r>
          </w:p>
        </w:tc>
        <w:tc>
          <w:tcPr>
            <w:tcW w:type="dxa" w:w="3240"/>
          </w:tcPr>
          <w:p>
            <w:pPr>
              <w:spacing w:after="20" w:line="240" w:lineRule="auto"/>
            </w:pPr>
            <w:r>
              <w:rPr>
                <w:sz w:val="18"/>
              </w:rPr>
              <w:t>Reframe the AI tooling as personal, or get 2-3 teammates using it and state the count</w:t>
            </w:r>
          </w:p>
        </w:tc>
        <w:tc>
          <w:tcPr>
            <w:tcW w:type="dxa" w:w="1368"/>
          </w:tcPr>
          <w:p>
            <w:pPr>
              <w:spacing w:after="20" w:line="240" w:lineRule="auto"/>
            </w:pPr>
            <w:r>
              <w:rPr>
                <w:sz w:val="18"/>
              </w:rPr>
              <w:t>Both, cv.md</w:t>
            </w:r>
          </w:p>
        </w:tc>
        <w:tc>
          <w:tcPr>
            <w:tcW w:type="dxa" w:w="1080"/>
          </w:tcPr>
          <w:p>
            <w:pPr>
              <w:spacing w:after="20" w:line="240" w:lineRule="auto"/>
            </w:pPr>
            <w:r>
              <w:rPr>
                <w:sz w:val="18"/>
              </w:rPr>
              <w:t>CRITICAL</w:t>
            </w:r>
          </w:p>
        </w:tc>
        <w:tc>
          <w:tcPr>
            <w:tcW w:type="dxa" w:w="1037"/>
          </w:tcPr>
          <w:p>
            <w:pPr>
              <w:spacing w:after="20" w:line="240" w:lineRule="auto"/>
            </w:pPr>
            <w:r>
              <w:rPr>
                <w:sz w:val="18"/>
              </w:rPr>
              <w:t>5 min (or 2-3 weeks)</w:t>
            </w:r>
          </w:p>
        </w:tc>
        <w:tc>
          <w:tcPr>
            <w:tcW w:type="dxa" w:w="2736"/>
          </w:tcPr>
          <w:p>
            <w:pPr>
              <w:spacing w:after="20" w:line="240" w:lineRule="auto"/>
            </w:pPr>
            <w:r>
              <w:rPr>
                <w:sz w:val="18"/>
              </w:rPr>
              <w:t>Scope inflation discounts every other claim</w:t>
            </w:r>
          </w:p>
        </w:tc>
      </w:tr>
      <w:tr>
        <w:trPr>
          <w:cantSplit/>
        </w:trPr>
        <w:tc>
          <w:tcPr>
            <w:tcW w:type="dxa" w:w="432"/>
            <w:shd w:val="clear" w:color="auto" w:fill="F3F6FB"/>
          </w:tcPr>
          <w:p>
            <w:pPr>
              <w:spacing w:after="20" w:line="240" w:lineRule="auto"/>
            </w:pPr>
            <w:r>
              <w:rPr>
                <w:sz w:val="18"/>
              </w:rPr>
              <w:t>4</w:t>
            </w:r>
          </w:p>
        </w:tc>
        <w:tc>
          <w:tcPr>
            <w:tcW w:type="dxa" w:w="3240"/>
            <w:shd w:val="clear" w:color="auto" w:fill="F3F6FB"/>
          </w:tcPr>
          <w:p>
            <w:pPr>
              <w:spacing w:after="20" w:line="240" w:lineRule="auto"/>
            </w:pPr>
            <w:r>
              <w:rPr>
                <w:sz w:val="18"/>
              </w:rPr>
              <w:t>Name customers once (C, B) or not at all (A); drop per-customer issue detail</w:t>
            </w:r>
          </w:p>
        </w:tc>
        <w:tc>
          <w:tcPr>
            <w:tcW w:type="dxa" w:w="1368"/>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1037"/>
            <w:shd w:val="clear" w:color="auto" w:fill="F3F6FB"/>
          </w:tcPr>
          <w:p>
            <w:pPr>
              <w:spacing w:after="20" w:line="240" w:lineRule="auto"/>
            </w:pPr>
            <w:r>
              <w:rPr>
                <w:sz w:val="18"/>
              </w:rPr>
              <w:t>10 min</w:t>
            </w:r>
          </w:p>
        </w:tc>
        <w:tc>
          <w:tcPr>
            <w:tcW w:type="dxa" w:w="2736"/>
            <w:shd w:val="clear" w:color="auto" w:fill="F3F6FB"/>
          </w:tcPr>
          <w:p>
            <w:pPr>
              <w:spacing w:after="20" w:line="240" w:lineRule="auto"/>
            </w:pPr>
            <w:r>
              <w:rPr>
                <w:sz w:val="18"/>
              </w:rPr>
              <w:t>Judgment flag for EDA; frees 2-3 lines</w:t>
            </w:r>
          </w:p>
        </w:tc>
      </w:tr>
      <w:tr>
        <w:trPr>
          <w:cantSplit/>
        </w:trPr>
        <w:tc>
          <w:tcPr>
            <w:tcW w:type="dxa" w:w="432"/>
          </w:tcPr>
          <w:p>
            <w:pPr>
              <w:spacing w:after="20" w:line="240" w:lineRule="auto"/>
            </w:pPr>
            <w:r>
              <w:rPr>
                <w:sz w:val="18"/>
              </w:rPr>
              <w:t>5</w:t>
            </w:r>
          </w:p>
        </w:tc>
        <w:tc>
          <w:tcPr>
            <w:tcW w:type="dxa" w:w="3240"/>
          </w:tcPr>
          <w:p>
            <w:pPr>
              <w:spacing w:after="20" w:line="240" w:lineRule="auto"/>
            </w:pPr>
            <w:r>
              <w:rPr>
                <w:sz w:val="18"/>
              </w:rPr>
              <w:t>Decoupling bullet: problem, choice, adoption. Get the build-time or rebuild-count effect from the IWYU reports</w:t>
            </w:r>
          </w:p>
        </w:tc>
        <w:tc>
          <w:tcPr>
            <w:tcW w:type="dxa" w:w="1368"/>
          </w:tcPr>
          <w:p>
            <w:pPr>
              <w:spacing w:after="20" w:line="240" w:lineRule="auto"/>
            </w:pPr>
            <w:r>
              <w:rPr>
                <w:sz w:val="18"/>
              </w:rPr>
              <w:t>Both</w:t>
            </w:r>
          </w:p>
        </w:tc>
        <w:tc>
          <w:tcPr>
            <w:tcW w:type="dxa" w:w="1080"/>
          </w:tcPr>
          <w:p>
            <w:pPr>
              <w:spacing w:after="20" w:line="240" w:lineRule="auto"/>
            </w:pPr>
            <w:r>
              <w:rPr>
                <w:sz w:val="18"/>
              </w:rPr>
              <w:t>HIGH</w:t>
            </w:r>
          </w:p>
        </w:tc>
        <w:tc>
          <w:tcPr>
            <w:tcW w:type="dxa" w:w="1037"/>
          </w:tcPr>
          <w:p>
            <w:pPr>
              <w:spacing w:after="20" w:line="240" w:lineRule="auto"/>
            </w:pPr>
            <w:r>
              <w:rPr>
                <w:sz w:val="18"/>
              </w:rPr>
              <w:t>30 min + data</w:t>
            </w:r>
          </w:p>
        </w:tc>
        <w:tc>
          <w:tcPr>
            <w:tcW w:type="dxa" w:w="2736"/>
          </w:tcPr>
          <w:p>
            <w:pPr>
              <w:spacing w:after="20" w:line="240" w:lineRule="auto"/>
            </w:pPr>
            <w:r>
              <w:rPr>
                <w:sz w:val="18"/>
              </w:rPr>
              <w:t>Your best Staff story currently carries an internal metric nobody can read</w:t>
            </w:r>
          </w:p>
        </w:tc>
      </w:tr>
      <w:tr>
        <w:trPr>
          <w:cantSplit/>
        </w:trPr>
        <w:tc>
          <w:tcPr>
            <w:tcW w:type="dxa" w:w="432"/>
            <w:shd w:val="clear" w:color="auto" w:fill="F3F6FB"/>
          </w:tcPr>
          <w:p>
            <w:pPr>
              <w:spacing w:after="20" w:line="240" w:lineRule="auto"/>
            </w:pPr>
            <w:r>
              <w:rPr>
                <w:sz w:val="18"/>
              </w:rPr>
              <w:t>6</w:t>
            </w:r>
          </w:p>
        </w:tc>
        <w:tc>
          <w:tcPr>
            <w:tcW w:type="dxa" w:w="3240"/>
            <w:shd w:val="clear" w:color="auto" w:fill="F3F6FB"/>
          </w:tcPr>
          <w:p>
            <w:pPr>
              <w:spacing w:after="20" w:line="240" w:lineRule="auto"/>
            </w:pPr>
            <w:r>
              <w:rPr>
                <w:sz w:val="18"/>
              </w:rPr>
              <w:t>Licensing bullet: the fallback judgment, and triage from weeks to ~2 days</w:t>
            </w:r>
          </w:p>
        </w:tc>
        <w:tc>
          <w:tcPr>
            <w:tcW w:type="dxa" w:w="1368"/>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1037"/>
            <w:shd w:val="clear" w:color="auto" w:fill="F3F6FB"/>
          </w:tcPr>
          <w:p>
            <w:pPr>
              <w:spacing w:after="20" w:line="240" w:lineRule="auto"/>
            </w:pPr>
            <w:r>
              <w:rPr>
                <w:sz w:val="18"/>
              </w:rPr>
              <w:t>10 min</w:t>
            </w:r>
          </w:p>
        </w:tc>
        <w:tc>
          <w:tcPr>
            <w:tcW w:type="dxa" w:w="2736"/>
            <w:shd w:val="clear" w:color="auto" w:fill="F3F6FB"/>
          </w:tcPr>
          <w:p>
            <w:pPr>
              <w:spacing w:after="20" w:line="240" w:lineRule="auto"/>
            </w:pPr>
            <w:r>
              <w:rPr>
                <w:sz w:val="18"/>
              </w:rPr>
              <w:t>Your best number isn't on the page</w:t>
            </w:r>
          </w:p>
        </w:tc>
      </w:tr>
      <w:tr>
        <w:trPr>
          <w:cantSplit/>
        </w:trPr>
        <w:tc>
          <w:tcPr>
            <w:tcW w:type="dxa" w:w="432"/>
          </w:tcPr>
          <w:p>
            <w:pPr>
              <w:spacing w:after="20" w:line="240" w:lineRule="auto"/>
            </w:pPr>
            <w:r>
              <w:rPr>
                <w:sz w:val="18"/>
              </w:rPr>
              <w:t>7</w:t>
            </w:r>
          </w:p>
        </w:tc>
        <w:tc>
          <w:tcPr>
            <w:tcW w:type="dxa" w:w="3240"/>
          </w:tcPr>
          <w:p>
            <w:pPr>
              <w:spacing w:after="20" w:line="240" w:lineRule="auto"/>
            </w:pPr>
            <w:r>
              <w:rPr>
                <w:sz w:val="18"/>
              </w:rPr>
              <w:t>Recording Studio: context, not causation. Confirm sessions vs MAU</w:t>
            </w:r>
          </w:p>
        </w:tc>
        <w:tc>
          <w:tcPr>
            <w:tcW w:type="dxa" w:w="1368"/>
          </w:tcPr>
          <w:p>
            <w:pPr>
              <w:spacing w:after="20" w:line="240" w:lineRule="auto"/>
            </w:pPr>
            <w:r>
              <w:rPr>
                <w:sz w:val="18"/>
              </w:rPr>
              <w:t>Both</w:t>
            </w:r>
          </w:p>
        </w:tc>
        <w:tc>
          <w:tcPr>
            <w:tcW w:type="dxa" w:w="1080"/>
          </w:tcPr>
          <w:p>
            <w:pPr>
              <w:spacing w:after="20" w:line="240" w:lineRule="auto"/>
            </w:pPr>
            <w:r>
              <w:rPr>
                <w:sz w:val="18"/>
              </w:rPr>
              <w:t>HIGH</w:t>
            </w:r>
          </w:p>
        </w:tc>
        <w:tc>
          <w:tcPr>
            <w:tcW w:type="dxa" w:w="1037"/>
          </w:tcPr>
          <w:p>
            <w:pPr>
              <w:spacing w:after="20" w:line="240" w:lineRule="auto"/>
            </w:pPr>
            <w:r>
              <w:rPr>
                <w:sz w:val="18"/>
              </w:rPr>
              <w:t>10 min</w:t>
            </w:r>
          </w:p>
        </w:tc>
        <w:tc>
          <w:tcPr>
            <w:tcW w:type="dxa" w:w="2736"/>
          </w:tcPr>
          <w:p>
            <w:pPr>
              <w:spacing w:after="20" w:line="240" w:lineRule="auto"/>
            </w:pPr>
            <w:r>
              <w:rPr>
                <w:sz w:val="18"/>
              </w:rPr>
              <w:t>An ex-Microsoft interviewer will check it</w:t>
            </w:r>
          </w:p>
        </w:tc>
      </w:tr>
      <w:tr>
        <w:trPr>
          <w:cantSplit/>
        </w:trPr>
        <w:tc>
          <w:tcPr>
            <w:tcW w:type="dxa" w:w="432"/>
            <w:shd w:val="clear" w:color="auto" w:fill="F3F6FB"/>
          </w:tcPr>
          <w:p>
            <w:pPr>
              <w:spacing w:after="20" w:line="240" w:lineRule="auto"/>
            </w:pPr>
            <w:r>
              <w:rPr>
                <w:sz w:val="18"/>
              </w:rPr>
              <w:t>8</w:t>
            </w:r>
          </w:p>
        </w:tc>
        <w:tc>
          <w:tcPr>
            <w:tcW w:type="dxa" w:w="3240"/>
            <w:shd w:val="clear" w:color="auto" w:fill="F3F6FB"/>
          </w:tcPr>
          <w:p>
            <w:pPr>
              <w:spacing w:after="20" w:line="240" w:lineRule="auto"/>
            </w:pPr>
            <w:r>
              <w:rPr>
                <w:sz w:val="18"/>
              </w:rPr>
              <w:t>Skills: drop the distributed / event-driven claims (FAANG); trim formal terms you can't defend (EDA); replace 'LLVM-adjacent' with the program slicer</w:t>
            </w:r>
          </w:p>
        </w:tc>
        <w:tc>
          <w:tcPr>
            <w:tcW w:type="dxa" w:w="1368"/>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1037"/>
            <w:shd w:val="clear" w:color="auto" w:fill="F3F6FB"/>
          </w:tcPr>
          <w:p>
            <w:pPr>
              <w:spacing w:after="20" w:line="240" w:lineRule="auto"/>
            </w:pPr>
            <w:r>
              <w:rPr>
                <w:sz w:val="18"/>
              </w:rPr>
              <w:t>15 min</w:t>
            </w:r>
          </w:p>
        </w:tc>
        <w:tc>
          <w:tcPr>
            <w:tcW w:type="dxa" w:w="2736"/>
            <w:shd w:val="clear" w:color="auto" w:fill="F3F6FB"/>
          </w:tcPr>
          <w:p>
            <w:pPr>
              <w:spacing w:after="20" w:line="240" w:lineRule="auto"/>
            </w:pPr>
            <w:r>
              <w:rPr>
                <w:sz w:val="18"/>
              </w:rPr>
              <w:t>Skills lines set the interview agenda</w:t>
            </w:r>
          </w:p>
        </w:tc>
      </w:tr>
      <w:tr>
        <w:trPr>
          <w:cantSplit/>
        </w:trPr>
        <w:tc>
          <w:tcPr>
            <w:tcW w:type="dxa" w:w="432"/>
          </w:tcPr>
          <w:p>
            <w:pPr>
              <w:spacing w:after="20" w:line="240" w:lineRule="auto"/>
            </w:pPr>
            <w:r>
              <w:rPr>
                <w:sz w:val="18"/>
              </w:rPr>
              <w:t>9</w:t>
            </w:r>
          </w:p>
        </w:tc>
        <w:tc>
          <w:tcPr>
            <w:tcW w:type="dxa" w:w="3240"/>
          </w:tcPr>
          <w:p>
            <w:pPr>
              <w:spacing w:after="20" w:line="240" w:lineRule="auto"/>
            </w:pPr>
            <w:r>
              <w:rPr>
                <w:sz w:val="18"/>
              </w:rPr>
              <w:t>Summary: 11 years, the C++ large-codebase throughline, one judgment plus adoption</w:t>
            </w:r>
          </w:p>
        </w:tc>
        <w:tc>
          <w:tcPr>
            <w:tcW w:type="dxa" w:w="1368"/>
          </w:tcPr>
          <w:p>
            <w:pPr>
              <w:spacing w:after="20" w:line="240" w:lineRule="auto"/>
            </w:pPr>
            <w:r>
              <w:rPr>
                <w:sz w:val="18"/>
              </w:rPr>
              <w:t>Both</w:t>
            </w:r>
          </w:p>
        </w:tc>
        <w:tc>
          <w:tcPr>
            <w:tcW w:type="dxa" w:w="1080"/>
          </w:tcPr>
          <w:p>
            <w:pPr>
              <w:spacing w:after="20" w:line="240" w:lineRule="auto"/>
            </w:pPr>
            <w:r>
              <w:rPr>
                <w:sz w:val="18"/>
              </w:rPr>
              <w:t>HIGH</w:t>
            </w:r>
          </w:p>
        </w:tc>
        <w:tc>
          <w:tcPr>
            <w:tcW w:type="dxa" w:w="1037"/>
          </w:tcPr>
          <w:p>
            <w:pPr>
              <w:spacing w:after="20" w:line="240" w:lineRule="auto"/>
            </w:pPr>
            <w:r>
              <w:rPr>
                <w:sz w:val="18"/>
              </w:rPr>
              <w:t>15 min</w:t>
            </w:r>
          </w:p>
        </w:tc>
        <w:tc>
          <w:tcPr>
            <w:tcW w:type="dxa" w:w="2736"/>
          </w:tcPr>
          <w:p>
            <w:pPr>
              <w:spacing w:after="20" w:line="240" w:lineRule="auto"/>
            </w:pPr>
            <w:r>
              <w:rPr>
                <w:sz w:val="18"/>
              </w:rPr>
              <w:t>The first 3 lines decide whether the rest gets read</w:t>
            </w:r>
          </w:p>
        </w:tc>
      </w:tr>
      <w:tr>
        <w:trPr>
          <w:cantSplit/>
        </w:trPr>
        <w:tc>
          <w:tcPr>
            <w:tcW w:type="dxa" w:w="432"/>
            <w:shd w:val="clear" w:color="auto" w:fill="F3F6FB"/>
          </w:tcPr>
          <w:p>
            <w:pPr>
              <w:spacing w:after="20" w:line="240" w:lineRule="auto"/>
            </w:pPr>
            <w:r>
              <w:rPr>
                <w:sz w:val="18"/>
              </w:rPr>
              <w:t>10</w:t>
            </w:r>
          </w:p>
        </w:tc>
        <w:tc>
          <w:tcPr>
            <w:tcW w:type="dxa" w:w="3240"/>
            <w:shd w:val="clear" w:color="auto" w:fill="F3F6FB"/>
          </w:tcPr>
          <w:p>
            <w:pPr>
              <w:spacing w:after="20" w:line="240" w:lineRule="auto"/>
            </w:pPr>
            <w:r>
              <w:rPr>
                <w:sz w:val="18"/>
              </w:rPr>
              <w:t>Coverage-ownership bullet: add the summit talk, fold in escalations, define 'own'</w:t>
            </w:r>
          </w:p>
        </w:tc>
        <w:tc>
          <w:tcPr>
            <w:tcW w:type="dxa" w:w="1368"/>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1037"/>
            <w:shd w:val="clear" w:color="auto" w:fill="F3F6FB"/>
          </w:tcPr>
          <w:p>
            <w:pPr>
              <w:spacing w:after="20" w:line="240" w:lineRule="auto"/>
            </w:pPr>
            <w:r>
              <w:rPr>
                <w:sz w:val="18"/>
              </w:rPr>
              <w:t>10 min</w:t>
            </w:r>
          </w:p>
        </w:tc>
        <w:tc>
          <w:tcPr>
            <w:tcW w:type="dxa" w:w="2736"/>
            <w:shd w:val="clear" w:color="auto" w:fill="F3F6FB"/>
          </w:tcPr>
          <w:p>
            <w:pPr>
              <w:spacing w:after="20" w:line="240" w:lineRule="auto"/>
            </w:pPr>
            <w:r>
              <w:rPr>
                <w:sz w:val="18"/>
              </w:rPr>
              <w:t>Your clearest external signal</w:t>
            </w:r>
          </w:p>
        </w:tc>
      </w:tr>
      <w:tr>
        <w:trPr>
          <w:cantSplit/>
        </w:trPr>
        <w:tc>
          <w:tcPr>
            <w:tcW w:type="dxa" w:w="432"/>
          </w:tcPr>
          <w:p>
            <w:pPr>
              <w:spacing w:after="20" w:line="240" w:lineRule="auto"/>
            </w:pPr>
            <w:r>
              <w:rPr>
                <w:sz w:val="18"/>
              </w:rPr>
              <w:t>11</w:t>
            </w:r>
          </w:p>
        </w:tc>
        <w:tc>
          <w:tcPr>
            <w:tcW w:type="dxa" w:w="3240"/>
          </w:tcPr>
          <w:p>
            <w:pPr>
              <w:spacing w:after="20" w:line="240" w:lineRule="auto"/>
            </w:pPr>
            <w:r>
              <w:rPr>
                <w:sz w:val="18"/>
              </w:rPr>
              <w:t>Outcome framing for the coverage DB, density and save/restore bullets; cut density if there's no adopter</w:t>
            </w:r>
          </w:p>
        </w:tc>
        <w:tc>
          <w:tcPr>
            <w:tcW w:type="dxa" w:w="1368"/>
          </w:tcPr>
          <w:p>
            <w:pPr>
              <w:spacing w:after="20" w:line="240" w:lineRule="auto"/>
            </w:pPr>
            <w:r>
              <w:rPr>
                <w:sz w:val="18"/>
              </w:rPr>
              <w:t>Both</w:t>
            </w:r>
          </w:p>
        </w:tc>
        <w:tc>
          <w:tcPr>
            <w:tcW w:type="dxa" w:w="1080"/>
          </w:tcPr>
          <w:p>
            <w:pPr>
              <w:spacing w:after="20" w:line="240" w:lineRule="auto"/>
            </w:pPr>
            <w:r>
              <w:rPr>
                <w:sz w:val="18"/>
              </w:rPr>
              <w:t>MED</w:t>
            </w:r>
          </w:p>
        </w:tc>
        <w:tc>
          <w:tcPr>
            <w:tcW w:type="dxa" w:w="1037"/>
          </w:tcPr>
          <w:p>
            <w:pPr>
              <w:spacing w:after="20" w:line="240" w:lineRule="auto"/>
            </w:pPr>
            <w:r>
              <w:rPr>
                <w:sz w:val="18"/>
              </w:rPr>
              <w:t>20 min</w:t>
            </w:r>
          </w:p>
        </w:tc>
        <w:tc>
          <w:tcPr>
            <w:tcW w:type="dxa" w:w="2736"/>
          </w:tcPr>
          <w:p>
            <w:pPr>
              <w:spacing w:after="20" w:line="240" w:lineRule="auto"/>
            </w:pPr>
            <w:r>
              <w:rPr>
                <w:sz w:val="18"/>
              </w:rPr>
              <w:t>Activity logs read as mid-level</w:t>
            </w:r>
          </w:p>
        </w:tc>
      </w:tr>
      <w:tr>
        <w:trPr>
          <w:cantSplit/>
        </w:trPr>
        <w:tc>
          <w:tcPr>
            <w:tcW w:type="dxa" w:w="432"/>
            <w:shd w:val="clear" w:color="auto" w:fill="F3F6FB"/>
          </w:tcPr>
          <w:p>
            <w:pPr>
              <w:spacing w:after="20" w:line="240" w:lineRule="auto"/>
            </w:pPr>
            <w:r>
              <w:rPr>
                <w:sz w:val="18"/>
              </w:rPr>
              <w:t>12</w:t>
            </w:r>
          </w:p>
        </w:tc>
        <w:tc>
          <w:tcPr>
            <w:tcW w:type="dxa" w:w="3240"/>
            <w:shd w:val="clear" w:color="auto" w:fill="F3F6FB"/>
          </w:tcPr>
          <w:p>
            <w:pPr>
              <w:spacing w:after="20" w:line="240" w:lineRule="auto"/>
            </w:pPr>
            <w:r>
              <w:rPr>
                <w:sz w:val="18"/>
              </w:rPr>
              <w:t>Remove Awards (an estimation-contest prize, a team award); fold the Adobe Spot Award into its bullet</w:t>
            </w:r>
          </w:p>
        </w:tc>
        <w:tc>
          <w:tcPr>
            <w:tcW w:type="dxa" w:w="1368"/>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MED</w:t>
            </w:r>
          </w:p>
        </w:tc>
        <w:tc>
          <w:tcPr>
            <w:tcW w:type="dxa" w:w="1037"/>
            <w:shd w:val="clear" w:color="auto" w:fill="F3F6FB"/>
          </w:tcPr>
          <w:p>
            <w:pPr>
              <w:spacing w:after="20" w:line="240" w:lineRule="auto"/>
            </w:pPr>
            <w:r>
              <w:rPr>
                <w:sz w:val="18"/>
              </w:rPr>
              <w:t>2 min</w:t>
            </w:r>
          </w:p>
        </w:tc>
        <w:tc>
          <w:tcPr>
            <w:tcW w:type="dxa" w:w="2736"/>
            <w:shd w:val="clear" w:color="auto" w:fill="F3F6FB"/>
          </w:tcPr>
          <w:p>
            <w:pPr>
              <w:spacing w:after="20" w:line="240" w:lineRule="auto"/>
            </w:pPr>
            <w:r>
              <w:rPr>
                <w:sz w:val="18"/>
              </w:rPr>
              <w:t>The Synopsys spot award reads as trivia</w:t>
            </w:r>
          </w:p>
        </w:tc>
      </w:tr>
      <w:tr>
        <w:trPr>
          <w:cantSplit/>
        </w:trPr>
        <w:tc>
          <w:tcPr>
            <w:tcW w:type="dxa" w:w="432"/>
          </w:tcPr>
          <w:p>
            <w:pPr>
              <w:spacing w:after="20" w:line="240" w:lineRule="auto"/>
            </w:pPr>
            <w:r>
              <w:rPr>
                <w:sz w:val="18"/>
              </w:rPr>
              <w:t>13</w:t>
            </w:r>
          </w:p>
        </w:tc>
        <w:tc>
          <w:tcPr>
            <w:tcW w:type="dxa" w:w="3240"/>
          </w:tcPr>
          <w:p>
            <w:pPr>
              <w:spacing w:after="20" w:line="240" w:lineRule="auto"/>
            </w:pPr>
            <w:r>
              <w:rPr>
                <w:sz w:val="18"/>
              </w:rPr>
              <w:t>Format: keep-with-next, visible URL and location, SKILLS below EXPERIENCE, A4, file name</w:t>
            </w:r>
          </w:p>
        </w:tc>
        <w:tc>
          <w:tcPr>
            <w:tcW w:type="dxa" w:w="1368"/>
          </w:tcPr>
          <w:p>
            <w:pPr>
              <w:spacing w:after="20" w:line="240" w:lineRule="auto"/>
            </w:pPr>
            <w:r>
              <w:rPr>
                <w:sz w:val="18"/>
              </w:rPr>
              <w:t>Both</w:t>
            </w:r>
          </w:p>
        </w:tc>
        <w:tc>
          <w:tcPr>
            <w:tcW w:type="dxa" w:w="1080"/>
          </w:tcPr>
          <w:p>
            <w:pPr>
              <w:spacing w:after="20" w:line="240" w:lineRule="auto"/>
            </w:pPr>
            <w:r>
              <w:rPr>
                <w:sz w:val="18"/>
              </w:rPr>
              <w:t>MED</w:t>
            </w:r>
          </w:p>
        </w:tc>
        <w:tc>
          <w:tcPr>
            <w:tcW w:type="dxa" w:w="1037"/>
          </w:tcPr>
          <w:p>
            <w:pPr>
              <w:spacing w:after="20" w:line="240" w:lineRule="auto"/>
            </w:pPr>
            <w:r>
              <w:rPr>
                <w:sz w:val="18"/>
              </w:rPr>
              <w:t>20 min</w:t>
            </w:r>
          </w:p>
        </w:tc>
        <w:tc>
          <w:tcPr>
            <w:tcW w:type="dxa" w:w="2736"/>
          </w:tcPr>
          <w:p>
            <w:pPr>
              <w:spacing w:after="20" w:line="240" w:lineRule="auto"/>
            </w:pPr>
            <w:r>
              <w:rPr>
                <w:sz w:val="18"/>
              </w:rPr>
              <w:t>Cheap and visible</w:t>
            </w:r>
          </w:p>
        </w:tc>
      </w:tr>
      <w:tr>
        <w:trPr>
          <w:cantSplit/>
        </w:trPr>
        <w:tc>
          <w:tcPr>
            <w:tcW w:type="dxa" w:w="432"/>
            <w:shd w:val="clear" w:color="auto" w:fill="F3F6FB"/>
          </w:tcPr>
          <w:p>
            <w:pPr>
              <w:spacing w:after="20" w:line="240" w:lineRule="auto"/>
            </w:pPr>
            <w:r>
              <w:rPr>
                <w:sz w:val="18"/>
              </w:rPr>
              <w:t>14</w:t>
            </w:r>
          </w:p>
        </w:tc>
        <w:tc>
          <w:tcPr>
            <w:tcW w:type="dxa" w:w="3240"/>
            <w:shd w:val="clear" w:color="auto" w:fill="F3F6FB"/>
          </w:tcPr>
          <w:p>
            <w:pPr>
              <w:spacing w:after="20" w:line="240" w:lineRule="auto"/>
            </w:pPr>
            <w:r>
              <w:rPr>
                <w:sz w:val="18"/>
              </w:rPr>
              <w:t>Sync cv.md (career-ops) once you sign off</w:t>
            </w:r>
          </w:p>
        </w:tc>
        <w:tc>
          <w:tcPr>
            <w:tcW w:type="dxa" w:w="1368"/>
            <w:shd w:val="clear" w:color="auto" w:fill="F3F6FB"/>
          </w:tcPr>
          <w:p>
            <w:pPr>
              <w:spacing w:after="20" w:line="240" w:lineRule="auto"/>
            </w:pPr>
            <w:r>
              <w:rPr>
                <w:sz w:val="18"/>
              </w:rPr>
              <w:t>cv.md</w:t>
            </w:r>
          </w:p>
        </w:tc>
        <w:tc>
          <w:tcPr>
            <w:tcW w:type="dxa" w:w="1080"/>
            <w:shd w:val="clear" w:color="auto" w:fill="F3F6FB"/>
          </w:tcPr>
          <w:p>
            <w:pPr>
              <w:spacing w:after="20" w:line="240" w:lineRule="auto"/>
            </w:pPr>
            <w:r>
              <w:rPr>
                <w:sz w:val="18"/>
              </w:rPr>
              <w:t>HIGH</w:t>
            </w:r>
          </w:p>
        </w:tc>
        <w:tc>
          <w:tcPr>
            <w:tcW w:type="dxa" w:w="1037"/>
            <w:shd w:val="clear" w:color="auto" w:fill="F3F6FB"/>
          </w:tcPr>
          <w:p>
            <w:pPr>
              <w:spacing w:after="20" w:line="240" w:lineRule="auto"/>
            </w:pPr>
            <w:r>
              <w:rPr>
                <w:sz w:val="18"/>
              </w:rPr>
              <w:t>10 min</w:t>
            </w:r>
          </w:p>
        </w:tc>
        <w:tc>
          <w:tcPr>
            <w:tcW w:type="dxa" w:w="2736"/>
            <w:shd w:val="clear" w:color="auto" w:fill="F3F6FB"/>
          </w:tcPr>
          <w:p>
            <w:pPr>
              <w:spacing w:after="20" w:line="240" w:lineRule="auto"/>
            </w:pPr>
            <w:r>
              <w:rPr>
                <w:sz w:val="18"/>
              </w:rPr>
              <w:t>career-ops tailors every application from cv.md, so today's flagged claims propagate into everything it generates</w:t>
            </w:r>
          </w:p>
        </w:tc>
      </w:tr>
    </w:tbl>
    <w:p>
      <w:pPr>
        <w:spacing w:after="40"/>
      </w:pPr>
    </w:p>
    <w:p>
      <w:r>
        <w:rPr>
          <w:color w:val="5F6B7A"/>
          <w:sz w:val="19"/>
        </w:rPr>
        <w:t>Items 1-10 are already drafted as tracked changes in the two reviewed files. Items 11-12 are partly drafted. Item 13 is flagged in comments; do it by hand. Item 14 waits for your sign-off.</w:t>
      </w:r>
    </w:p>
    <w:p>
      <w:pPr>
        <w:pStyle w:val="Heading1"/>
      </w:pPr>
      <w:r>
        <w:t>6. Before and after: the three weakest bullets</w:t>
      </w:r>
    </w:p>
    <w:p>
      <w:pPr>
        <w:pStyle w:val="Heading3"/>
      </w:pPr>
      <w:r>
        <w:t>6.1  AI tooling (both files): the most dangerous bullet</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8164"/>
      </w:tblGrid>
      <w:tr>
        <w:trPr>
          <w:cantSplit/>
        </w:trPr>
        <w:tc>
          <w:tcPr>
            <w:tcW w:type="dxa" w:w="1728"/>
            <w:shd w:val="clear" w:color="auto" w:fill="EAF0FA"/>
          </w:tcPr>
          <w:p>
            <w:pPr>
              <w:spacing w:after="20" w:line="240" w:lineRule="auto"/>
            </w:pPr>
            <w:r>
              <w:rPr>
                <w:b/>
                <w:sz w:val="19"/>
              </w:rPr>
              <w:t>Before</w:t>
            </w:r>
          </w:p>
        </w:tc>
        <w:tc>
          <w:tcPr>
            <w:tcW w:type="dxa" w:w="8165"/>
          </w:tcPr>
          <w:p>
            <w:pPr>
              <w:spacing w:after="20" w:line="240" w:lineRule="auto"/>
            </w:pPr>
            <w:r>
              <w:rPr>
                <w:sz w:val="19"/>
              </w:rPr>
              <w:t>Built an internal Cursor-based engineering-productivity platform (9 custom skills, saved plans, 500+ doc searchable knowledge index) that cut regression triage from 2-3 hours to 5-10 minutes and JIRA ramp-up from 3-4 hours to 10-15 minutes.</w:t>
            </w:r>
          </w:p>
        </w:tc>
      </w:tr>
      <w:tr>
        <w:trPr>
          <w:cantSplit/>
        </w:trPr>
        <w:tc>
          <w:tcPr>
            <w:tcW w:type="dxa" w:w="1728"/>
            <w:shd w:val="clear" w:color="auto" w:fill="EAF0FA"/>
          </w:tcPr>
          <w:p>
            <w:pPr>
              <w:spacing w:after="20" w:line="240" w:lineRule="auto"/>
            </w:pPr>
            <w:r>
              <w:rPr>
                <w:b/>
                <w:sz w:val="19"/>
              </w:rPr>
              <w:t>What's wrong</w:t>
            </w:r>
          </w:p>
        </w:tc>
        <w:tc>
          <w:tcPr>
            <w:tcW w:type="dxa" w:w="8165"/>
          </w:tcPr>
          <w:p>
            <w:pPr>
              <w:spacing w:after="20" w:line="240" w:lineRule="auto"/>
            </w:pPr>
            <w:r>
              <w:rPr>
                <w:sz w:val="19"/>
              </w:rPr>
              <w:t>'Internal platform' plus team-sounding savings implies adoption that doesn't exist (sole builder, sole user, one demo). The first L6 question is 'how many engineers use it?', and the answer undoes the bullet and the ones around it. The mid-level tell: it lists the tool's parts (skills, plans, index) instead of the problem it solved.</w:t>
            </w:r>
          </w:p>
        </w:tc>
      </w:tr>
      <w:tr>
        <w:trPr>
          <w:cantSplit/>
        </w:trPr>
        <w:tc>
          <w:tcPr>
            <w:tcW w:type="dxa" w:w="1728"/>
            <w:shd w:val="clear" w:color="auto" w:fill="EAF0FA"/>
          </w:tcPr>
          <w:p>
            <w:pPr>
              <w:spacing w:after="20" w:line="240" w:lineRule="auto"/>
            </w:pPr>
            <w:r>
              <w:rPr>
                <w:b/>
                <w:sz w:val="19"/>
              </w:rPr>
              <w:t>After (today)</w:t>
            </w:r>
          </w:p>
        </w:tc>
        <w:tc>
          <w:tcPr>
            <w:tcW w:type="dxa" w:w="8165"/>
          </w:tcPr>
          <w:p>
            <w:pPr>
              <w:spacing w:after="20" w:line="240" w:lineRule="auto"/>
            </w:pPr>
            <w:r>
              <w:rPr>
                <w:sz w:val="19"/>
              </w:rPr>
              <w:t>Built my own LLM agent tooling for this codebase in Cursor (9 custom skills, a searchable index of 500+ internal docs); cut my regression triage from 2-3 hours to 5-10 minutes and demoed it to the team.</w:t>
            </w:r>
          </w:p>
        </w:tc>
      </w:tr>
      <w:tr>
        <w:trPr>
          <w:cantSplit/>
        </w:trPr>
        <w:tc>
          <w:tcPr>
            <w:tcW w:type="dxa" w:w="1728"/>
            <w:shd w:val="clear" w:color="auto" w:fill="EAF0FA"/>
          </w:tcPr>
          <w:p>
            <w:pPr>
              <w:spacing w:after="20" w:line="240" w:lineRule="auto"/>
            </w:pPr>
            <w:r>
              <w:rPr>
                <w:b/>
                <w:sz w:val="19"/>
              </w:rPr>
              <w:t>After (target)</w:t>
            </w:r>
          </w:p>
        </w:tc>
        <w:tc>
          <w:tcPr>
            <w:tcW w:type="dxa" w:w="8165"/>
          </w:tcPr>
          <w:p>
            <w:pPr>
              <w:spacing w:after="20" w:line="240" w:lineRule="auto"/>
            </w:pPr>
            <w:r>
              <w:rPr>
                <w:sz w:val="19"/>
              </w:rPr>
              <w:t>Once 3+ teammates use it: "Built LLM agent tooling for the VC Formal team (9 skills, a searchable index of 500+ internal docs), now used by [N] of [M] engineers; regression triage down from 2-3 hours to 5-10 minutes." That's a real Staff leverage line, and 2-3 weeks of pushing adoption can get you there.</w:t>
            </w:r>
          </w:p>
        </w:tc>
      </w:tr>
    </w:tbl>
    <w:p>
      <w:pPr>
        <w:spacing w:after="40"/>
      </w:pPr>
    </w:p>
    <w:p>
      <w:pPr>
        <w:pStyle w:val="Heading3"/>
      </w:pPr>
      <w:r>
        <w:t>6.2  Property &amp; Assertion Density (FAANG file)</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8164"/>
      </w:tblGrid>
      <w:tr>
        <w:trPr>
          <w:cantSplit/>
        </w:trPr>
        <w:tc>
          <w:tcPr>
            <w:tcW w:type="dxa" w:w="1728"/>
            <w:shd w:val="clear" w:color="auto" w:fill="EAF0FA"/>
          </w:tcPr>
          <w:p>
            <w:pPr>
              <w:spacing w:after="20" w:line="240" w:lineRule="auto"/>
            </w:pPr>
            <w:r>
              <w:rPr>
                <w:b/>
                <w:sz w:val="19"/>
              </w:rPr>
              <w:t>Before</w:t>
            </w:r>
          </w:p>
        </w:tc>
        <w:tc>
          <w:tcPr>
            <w:tcW w:type="dxa" w:w="8165"/>
          </w:tcPr>
          <w:p>
            <w:pPr>
              <w:spacing w:after="20" w:line="240" w:lineRule="auto"/>
            </w:pPr>
            <w:r>
              <w:rPr>
                <w:sz w:val="19"/>
              </w:rPr>
              <w:t>Delivered Property &amp; Assertion Density across native engine, TCL command shell, dual-process XML IPC, and HTML reporting; shipped 5 sub-capabilities across multiple releases.</w:t>
            </w:r>
          </w:p>
        </w:tc>
      </w:tr>
      <w:tr>
        <w:trPr>
          <w:cantSplit/>
        </w:trPr>
        <w:tc>
          <w:tcPr>
            <w:tcW w:type="dxa" w:w="1728"/>
            <w:shd w:val="clear" w:color="auto" w:fill="EAF0FA"/>
          </w:tcPr>
          <w:p>
            <w:pPr>
              <w:spacing w:after="20" w:line="240" w:lineRule="auto"/>
            </w:pPr>
            <w:r>
              <w:rPr>
                <w:b/>
                <w:sz w:val="19"/>
              </w:rPr>
              <w:t>What's wrong</w:t>
            </w:r>
          </w:p>
        </w:tc>
        <w:tc>
          <w:tcPr>
            <w:tcW w:type="dxa" w:w="8165"/>
          </w:tcPr>
          <w:p>
            <w:pPr>
              <w:spacing w:after="20" w:line="240" w:lineRule="auto"/>
            </w:pPr>
            <w:r>
              <w:rPr>
                <w:sz w:val="19"/>
              </w:rPr>
              <w:t>An activity log: the layers you touched plus a count of sub-features. No user, no problem, no result. 'Delivered' is a project-manager verb. It's the bullet a mid-level engineer writes, and it sits next to your Staff-grade bullets and pulls them down.</w:t>
            </w:r>
          </w:p>
        </w:tc>
      </w:tr>
      <w:tr>
        <w:trPr>
          <w:cantSplit/>
        </w:trPr>
        <w:tc>
          <w:tcPr>
            <w:tcW w:type="dxa" w:w="1728"/>
            <w:shd w:val="clear" w:color="auto" w:fill="EAF0FA"/>
          </w:tcPr>
          <w:p>
            <w:pPr>
              <w:spacing w:after="20" w:line="240" w:lineRule="auto"/>
            </w:pPr>
            <w:r>
              <w:rPr>
                <w:b/>
                <w:sz w:val="19"/>
              </w:rPr>
              <w:t>After (today)</w:t>
            </w:r>
          </w:p>
        </w:tc>
        <w:tc>
          <w:tcPr>
            <w:tcW w:type="dxa" w:w="8165"/>
          </w:tcPr>
          <w:p>
            <w:pPr>
              <w:spacing w:after="20" w:line="240" w:lineRule="auto"/>
            </w:pPr>
            <w:r>
              <w:rPr>
                <w:sz w:val="19"/>
              </w:rPr>
              <w:t>Built property and assertion density reporting end to end (engine, TCL shell, two-process XML IPC, HTML report) so customers could measure verification completeness on datapath designs, closing a gap with the sister product; shipped in 4 release streams.</w:t>
            </w:r>
          </w:p>
        </w:tc>
      </w:tr>
      <w:tr>
        <w:trPr>
          <w:cantSplit/>
        </w:trPr>
        <w:tc>
          <w:tcPr>
            <w:tcW w:type="dxa" w:w="1728"/>
            <w:shd w:val="clear" w:color="auto" w:fill="EAF0FA"/>
          </w:tcPr>
          <w:p>
            <w:pPr>
              <w:spacing w:after="20" w:line="240" w:lineRule="auto"/>
            </w:pPr>
            <w:r>
              <w:rPr>
                <w:b/>
                <w:sz w:val="19"/>
              </w:rPr>
              <w:t>After (target)</w:t>
            </w:r>
          </w:p>
        </w:tc>
        <w:tc>
          <w:tcPr>
            <w:tcW w:type="dxa" w:w="8165"/>
          </w:tcPr>
          <w:p>
            <w:pPr>
              <w:spacing w:after="20" w:line="240" w:lineRule="auto"/>
            </w:pPr>
            <w:r>
              <w:rPr>
                <w:sz w:val="19"/>
              </w:rPr>
              <w:t>Add who asked for it and what changed for them [confirm]. If no adopter can be named, cut the bullet; the line is worth more as leadership evidence. (Runner-up for this slot: the EDA save/restore bullet, which is pure jargon: UAL, solveNB, HecProblem, -out_dir.)</w:t>
            </w:r>
          </w:p>
        </w:tc>
      </w:tr>
    </w:tbl>
    <w:p>
      <w:pPr>
        <w:spacing w:after="40"/>
      </w:pPr>
    </w:p>
    <w:p>
      <w:pPr>
        <w:pStyle w:val="Heading3"/>
      </w:pPr>
      <w:r>
        <w:t>6.3  Recording Studio (both files)</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8164"/>
      </w:tblGrid>
      <w:tr>
        <w:trPr>
          <w:cantSplit/>
        </w:trPr>
        <w:tc>
          <w:tcPr>
            <w:tcW w:type="dxa" w:w="1728"/>
            <w:shd w:val="clear" w:color="auto" w:fill="EAF0FA"/>
          </w:tcPr>
          <w:p>
            <w:pPr>
              <w:spacing w:after="20" w:line="240" w:lineRule="auto"/>
            </w:pPr>
            <w:r>
              <w:rPr>
                <w:b/>
                <w:sz w:val="19"/>
              </w:rPr>
              <w:t>Before</w:t>
            </w:r>
          </w:p>
        </w:tc>
        <w:tc>
          <w:tcPr>
            <w:tcW w:type="dxa" w:w="8165"/>
          </w:tcPr>
          <w:p>
            <w:pPr>
              <w:spacing w:after="20" w:line="240" w:lineRule="auto"/>
            </w:pPr>
            <w:r>
              <w:rPr>
                <w:sz w:val="19"/>
              </w:rPr>
              <w:t>Owned PowerPoint Recording Studio enhancements (camera modes, background blur, Cameo customizable-camera object, video export) driving monthly recording sessions from 1.5M to 4.2M; Cameo shipped to ~1.2M of the 4.2M sessions.</w:t>
            </w:r>
          </w:p>
        </w:tc>
      </w:tr>
      <w:tr>
        <w:trPr>
          <w:cantSplit/>
        </w:trPr>
        <w:tc>
          <w:tcPr>
            <w:tcW w:type="dxa" w:w="1728"/>
            <w:shd w:val="clear" w:color="auto" w:fill="EAF0FA"/>
          </w:tcPr>
          <w:p>
            <w:pPr>
              <w:spacing w:after="20" w:line="240" w:lineRule="auto"/>
            </w:pPr>
            <w:r>
              <w:rPr>
                <w:b/>
                <w:sz w:val="19"/>
              </w:rPr>
              <w:t>What's wrong</w:t>
            </w:r>
          </w:p>
        </w:tc>
        <w:tc>
          <w:tcPr>
            <w:tcW w:type="dxa" w:w="8165"/>
          </w:tcPr>
          <w:p>
            <w:pPr>
              <w:spacing w:after="20" w:line="240" w:lineRule="auto"/>
            </w:pPr>
            <w:r>
              <w:rPr>
                <w:sz w:val="19"/>
              </w:rPr>
              <w:t>'Driving' claims a 2.8x product metric as your causal result. It happened during 2021 remote-work growth, with a large team, in your first months at Microsoft (Explainer Videos ran Jun-Nov 2021). Your own sources disagree on whether it's MAU or sessions. An ex-Microsoft interviewer will check both.</w:t>
            </w:r>
          </w:p>
        </w:tc>
      </w:tr>
      <w:tr>
        <w:trPr>
          <w:cantSplit/>
        </w:trPr>
        <w:tc>
          <w:tcPr>
            <w:tcW w:type="dxa" w:w="1728"/>
            <w:shd w:val="clear" w:color="auto" w:fill="EAF0FA"/>
          </w:tcPr>
          <w:p>
            <w:pPr>
              <w:spacing w:after="20" w:line="240" w:lineRule="auto"/>
            </w:pPr>
            <w:r>
              <w:rPr>
                <w:b/>
                <w:sz w:val="19"/>
              </w:rPr>
              <w:t>After (today)</w:t>
            </w:r>
          </w:p>
        </w:tc>
        <w:tc>
          <w:tcPr>
            <w:tcW w:type="dxa" w:w="8165"/>
          </w:tcPr>
          <w:p>
            <w:pPr>
              <w:spacing w:after="20" w:line="240" w:lineRule="auto"/>
            </w:pPr>
            <w:r>
              <w:rPr>
                <w:sz w:val="19"/>
              </w:rPr>
              <w:t>Owned Recording Studio features in PowerPoint Win32 (C++): camera modes, live background blur, video export, and Cameo, a camera object users place on the slide. Monthly recording [sessions] grew from 1.5M to 4.2M over those releases; Cameo reached ~1.2M of them.</w:t>
            </w:r>
          </w:p>
        </w:tc>
      </w:tr>
      <w:tr>
        <w:trPr>
          <w:cantSplit/>
        </w:trPr>
        <w:tc>
          <w:tcPr>
            <w:tcW w:type="dxa" w:w="1728"/>
            <w:shd w:val="clear" w:color="auto" w:fill="EAF0FA"/>
          </w:tcPr>
          <w:p>
            <w:pPr>
              <w:spacing w:after="20" w:line="240" w:lineRule="auto"/>
            </w:pPr>
            <w:r>
              <w:rPr>
                <w:b/>
                <w:sz w:val="19"/>
              </w:rPr>
              <w:t>After (target)</w:t>
            </w:r>
          </w:p>
        </w:tc>
        <w:tc>
          <w:tcPr>
            <w:tcW w:type="dxa" w:w="8165"/>
          </w:tcPr>
          <w:p>
            <w:pPr>
              <w:spacing w:after="20" w:line="240" w:lineRule="auto"/>
            </w:pPr>
            <w:r>
              <w:rPr>
                <w:sz w:val="19"/>
              </w:rPr>
              <w:t>Add the part that was only yours, if there is one: the component you designed, or a decision you made about the camera pipeline or export [confirm]. Context plus a personal mechanism beats borrowed scale.</w:t>
            </w:r>
          </w:p>
        </w:tc>
      </w:tr>
    </w:tbl>
    <w:p>
      <w:pPr>
        <w:spacing w:after="40"/>
      </w:pPr>
    </w:p>
    <w:p>
      <w:pPr>
        <w:pStyle w:val="Heading1"/>
      </w:pPr>
      <w:r>
        <w:t>7. What you've done that the resume undersells</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3384"/>
        <w:gridCol w:w="1872"/>
        <w:gridCol w:w="2476"/>
        <w:gridCol w:w="2160"/>
      </w:tblGrid>
      <w:tr>
        <w:trPr>
          <w:tblHeader w:val="true"/>
          <w:cantSplit/>
        </w:trPr>
        <w:tc>
          <w:tcPr>
            <w:tcW w:type="dxa" w:w="3384"/>
            <w:shd w:val="clear" w:color="auto" w:fill="3C78D8"/>
          </w:tcPr>
          <w:p>
            <w:pPr>
              <w:spacing w:after="20" w:line="240" w:lineRule="auto"/>
            </w:pPr>
            <w:r>
              <w:rPr>
                <w:b/>
                <w:color w:val="FFFFFF"/>
                <w:sz w:val="18"/>
              </w:rPr>
              <w:t>Evidence (source)</w:t>
            </w:r>
          </w:p>
        </w:tc>
        <w:tc>
          <w:tcPr>
            <w:tcW w:type="dxa" w:w="1872"/>
            <w:shd w:val="clear" w:color="auto" w:fill="3C78D8"/>
          </w:tcPr>
          <w:p>
            <w:pPr>
              <w:spacing w:after="20" w:line="240" w:lineRule="auto"/>
            </w:pPr>
            <w:r>
              <w:rPr>
                <w:b/>
                <w:color w:val="FFFFFF"/>
                <w:sz w:val="18"/>
              </w:rPr>
              <w:t>On the resume now</w:t>
            </w:r>
          </w:p>
        </w:tc>
        <w:tc>
          <w:tcPr>
            <w:tcW w:type="dxa" w:w="2477"/>
            <w:shd w:val="clear" w:color="auto" w:fill="3C78D8"/>
          </w:tcPr>
          <w:p>
            <w:pPr>
              <w:spacing w:after="20" w:line="240" w:lineRule="auto"/>
            </w:pPr>
            <w:r>
              <w:rPr>
                <w:b/>
                <w:color w:val="FFFFFF"/>
                <w:sz w:val="18"/>
              </w:rPr>
              <w:t>Why it matters at Staff</w:t>
            </w:r>
          </w:p>
        </w:tc>
        <w:tc>
          <w:tcPr>
            <w:tcW w:type="dxa" w:w="2160"/>
            <w:shd w:val="clear" w:color="auto" w:fill="3C78D8"/>
          </w:tcPr>
          <w:p>
            <w:pPr>
              <w:spacing w:after="20" w:line="240" w:lineRule="auto"/>
            </w:pPr>
            <w:r>
              <w:rPr>
                <w:b/>
                <w:color w:val="FFFFFF"/>
                <w:sz w:val="18"/>
              </w:rPr>
              <w:t>Action</w:t>
            </w:r>
          </w:p>
        </w:tc>
      </w:tr>
      <w:tr>
        <w:trPr>
          <w:cantSplit/>
        </w:trPr>
        <w:tc>
          <w:tcPr>
            <w:tcW w:type="dxa" w:w="3384"/>
          </w:tcPr>
          <w:p>
            <w:pPr>
              <w:spacing w:after="20" w:line="240" w:lineRule="auto"/>
            </w:pPr>
            <w:r>
              <w:rPr>
                <w:sz w:val="18"/>
              </w:rPr>
              <w:t>Mentored two engineers who now run decoupling changes on their own (OKR, May-Jul 2026)</w:t>
            </w:r>
          </w:p>
        </w:tc>
        <w:tc>
          <w:tcPr>
            <w:tcW w:type="dxa" w:w="1872"/>
          </w:tcPr>
          <w:p>
            <w:pPr>
              <w:spacing w:after="20" w:line="240" w:lineRule="auto"/>
            </w:pPr>
            <w:r>
              <w:rPr>
                <w:sz w:val="18"/>
              </w:rPr>
              <w:t>Missing (both)</w:t>
            </w:r>
          </w:p>
        </w:tc>
        <w:tc>
          <w:tcPr>
            <w:tcW w:type="dxa" w:w="2477"/>
          </w:tcPr>
          <w:p>
            <w:pPr>
              <w:spacing w:after="20" w:line="240" w:lineRule="auto"/>
            </w:pPr>
            <w:r>
              <w:rPr>
                <w:sz w:val="18"/>
              </w:rPr>
              <w:t>Direct leverage, the core Staff signal</w:t>
            </w:r>
          </w:p>
        </w:tc>
        <w:tc>
          <w:tcPr>
            <w:tcW w:type="dxa" w:w="2160"/>
          </w:tcPr>
          <w:p>
            <w:pPr>
              <w:spacing w:after="20" w:line="240" w:lineRule="auto"/>
            </w:pPr>
            <w:r>
              <w:rPr>
                <w:sz w:val="18"/>
              </w:rPr>
              <w:t>Added to the decoupling bullet</w:t>
            </w:r>
          </w:p>
        </w:tc>
      </w:tr>
      <w:tr>
        <w:trPr>
          <w:cantSplit/>
        </w:trPr>
        <w:tc>
          <w:tcPr>
            <w:tcW w:type="dxa" w:w="3384"/>
            <w:shd w:val="clear" w:color="auto" w:fill="F3F6FB"/>
          </w:tcPr>
          <w:p>
            <w:pPr>
              <w:spacing w:after="20" w:line="240" w:lineRule="auto"/>
            </w:pPr>
            <w:r>
              <w:rPr>
                <w:sz w:val="18"/>
              </w:rPr>
              <w:t>Nvidia internal formal-verification summit talk (portfolio, project 3)</w:t>
            </w:r>
          </w:p>
        </w:tc>
        <w:tc>
          <w:tcPr>
            <w:tcW w:type="dxa" w:w="1872"/>
            <w:shd w:val="clear" w:color="auto" w:fill="F3F6FB"/>
          </w:tcPr>
          <w:p>
            <w:pPr>
              <w:spacing w:after="20" w:line="240" w:lineRule="auto"/>
            </w:pPr>
            <w:r>
              <w:rPr>
                <w:sz w:val="18"/>
              </w:rPr>
              <w:t>Missing; dropped from the July draft</w:t>
            </w:r>
          </w:p>
        </w:tc>
        <w:tc>
          <w:tcPr>
            <w:tcW w:type="dxa" w:w="2477"/>
            <w:shd w:val="clear" w:color="auto" w:fill="F3F6FB"/>
          </w:tcPr>
          <w:p>
            <w:pPr>
              <w:spacing w:after="20" w:line="240" w:lineRule="auto"/>
            </w:pPr>
            <w:r>
              <w:rPr>
                <w:sz w:val="18"/>
              </w:rPr>
              <w:t>External validation from a top customer</w:t>
            </w:r>
          </w:p>
        </w:tc>
        <w:tc>
          <w:tcPr>
            <w:tcW w:type="dxa" w:w="2160"/>
            <w:shd w:val="clear" w:color="auto" w:fill="F3F6FB"/>
          </w:tcPr>
          <w:p>
            <w:pPr>
              <w:spacing w:after="20" w:line="240" w:lineRule="auto"/>
            </w:pPr>
            <w:r>
              <w:rPr>
                <w:sz w:val="18"/>
              </w:rPr>
              <w:t>Added: named in C / B, redacted in A</w:t>
            </w:r>
          </w:p>
        </w:tc>
      </w:tr>
      <w:tr>
        <w:trPr>
          <w:cantSplit/>
        </w:trPr>
        <w:tc>
          <w:tcPr>
            <w:tcW w:type="dxa" w:w="3384"/>
          </w:tcPr>
          <w:p>
            <w:pPr>
              <w:spacing w:after="20" w:line="240" w:lineRule="auto"/>
            </w:pPr>
            <w:r>
              <w:rPr>
                <w:sz w:val="18"/>
              </w:rPr>
              <w:t>Promoted from R&amp;D Sr II to Staff in ~9 months (LinkedIn)</w:t>
            </w:r>
          </w:p>
        </w:tc>
        <w:tc>
          <w:tcPr>
            <w:tcW w:type="dxa" w:w="1872"/>
          </w:tcPr>
          <w:p>
            <w:pPr>
              <w:spacing w:after="20" w:line="240" w:lineRule="auto"/>
            </w:pPr>
            <w:r>
              <w:rPr>
                <w:sz w:val="18"/>
              </w:rPr>
              <w:t>Hidden: resume shows Staff from May 2023</w:t>
            </w:r>
          </w:p>
        </w:tc>
        <w:tc>
          <w:tcPr>
            <w:tcW w:type="dxa" w:w="2477"/>
          </w:tcPr>
          <w:p>
            <w:pPr>
              <w:spacing w:after="20" w:line="240" w:lineRule="auto"/>
            </w:pPr>
            <w:r>
              <w:rPr>
                <w:sz w:val="18"/>
              </w:rPr>
              <w:t>Growth signal, and it removes the verification risk</w:t>
            </w:r>
          </w:p>
        </w:tc>
        <w:tc>
          <w:tcPr>
            <w:tcW w:type="dxa" w:w="2160"/>
          </w:tcPr>
          <w:p>
            <w:pPr>
              <w:spacing w:after="20" w:line="240" w:lineRule="auto"/>
            </w:pPr>
            <w:r>
              <w:rPr>
                <w:sz w:val="18"/>
              </w:rPr>
              <w:t>Promotion line added</w:t>
            </w:r>
          </w:p>
        </w:tc>
      </w:tr>
      <w:tr>
        <w:trPr>
          <w:cantSplit/>
        </w:trPr>
        <w:tc>
          <w:tcPr>
            <w:tcW w:type="dxa" w:w="3384"/>
            <w:shd w:val="clear" w:color="auto" w:fill="F3F6FB"/>
          </w:tcPr>
          <w:p>
            <w:pPr>
              <w:spacing w:after="20" w:line="240" w:lineRule="auto"/>
            </w:pPr>
            <w:r>
              <w:rPr>
                <w:sz w:val="18"/>
              </w:rPr>
              <w:t>Probe harness: licensing triage from weeks to ~2 days, used 4+ times in Q3 2026 (portfolio, project 5)</w:t>
            </w:r>
          </w:p>
        </w:tc>
        <w:tc>
          <w:tcPr>
            <w:tcW w:type="dxa" w:w="1872"/>
            <w:shd w:val="clear" w:color="auto" w:fill="F3F6FB"/>
          </w:tcPr>
          <w:p>
            <w:pPr>
              <w:spacing w:after="20" w:line="240" w:lineRule="auto"/>
            </w:pPr>
            <w:r>
              <w:rPr>
                <w:sz w:val="18"/>
              </w:rPr>
              <w:t>Missing</w:t>
            </w:r>
          </w:p>
        </w:tc>
        <w:tc>
          <w:tcPr>
            <w:tcW w:type="dxa" w:w="2477"/>
            <w:shd w:val="clear" w:color="auto" w:fill="F3F6FB"/>
          </w:tcPr>
          <w:p>
            <w:pPr>
              <w:spacing w:after="20" w:line="240" w:lineRule="auto"/>
            </w:pPr>
            <w:r>
              <w:rPr>
                <w:sz w:val="18"/>
              </w:rPr>
              <w:t>Best quantified outcome in the licensing story</w:t>
            </w:r>
          </w:p>
        </w:tc>
        <w:tc>
          <w:tcPr>
            <w:tcW w:type="dxa" w:w="2160"/>
            <w:shd w:val="clear" w:color="auto" w:fill="F3F6FB"/>
          </w:tcPr>
          <w:p>
            <w:pPr>
              <w:spacing w:after="20" w:line="240" w:lineRule="auto"/>
            </w:pPr>
            <w:r>
              <w:rPr>
                <w:sz w:val="18"/>
              </w:rPr>
              <w:t>Added</w:t>
            </w:r>
          </w:p>
        </w:tc>
      </w:tr>
      <w:tr>
        <w:trPr>
          <w:cantSplit/>
        </w:trPr>
        <w:tc>
          <w:tcPr>
            <w:tcW w:type="dxa" w:w="3384"/>
          </w:tcPr>
          <w:p>
            <w:pPr>
              <w:spacing w:after="20" w:line="240" w:lineRule="auto"/>
            </w:pPr>
            <w:r>
              <w:rPr>
                <w:sz w:val="18"/>
              </w:rPr>
              <w:t>Fallback order designed so existing customers weren't locked out (portfolio, project 5)</w:t>
            </w:r>
          </w:p>
        </w:tc>
        <w:tc>
          <w:tcPr>
            <w:tcW w:type="dxa" w:w="1872"/>
          </w:tcPr>
          <w:p>
            <w:pPr>
              <w:spacing w:after="20" w:line="240" w:lineRule="auto"/>
            </w:pPr>
            <w:r>
              <w:rPr>
                <w:sz w:val="18"/>
              </w:rPr>
              <w:t>Hidden behind product names</w:t>
            </w:r>
          </w:p>
        </w:tc>
        <w:tc>
          <w:tcPr>
            <w:tcW w:type="dxa" w:w="2477"/>
          </w:tcPr>
          <w:p>
            <w:pPr>
              <w:spacing w:after="20" w:line="240" w:lineRule="auto"/>
            </w:pPr>
            <w:r>
              <w:rPr>
                <w:sz w:val="18"/>
              </w:rPr>
              <w:t>Judgment under customer constraints</w:t>
            </w:r>
          </w:p>
        </w:tc>
        <w:tc>
          <w:tcPr>
            <w:tcW w:type="dxa" w:w="2160"/>
          </w:tcPr>
          <w:p>
            <w:pPr>
              <w:spacing w:after="20" w:line="240" w:lineRule="auto"/>
            </w:pPr>
            <w:r>
              <w:rPr>
                <w:sz w:val="18"/>
              </w:rPr>
              <w:t>Added</w:t>
            </w:r>
          </w:p>
        </w:tc>
      </w:tr>
      <w:tr>
        <w:trPr>
          <w:cantSplit/>
        </w:trPr>
        <w:tc>
          <w:tcPr>
            <w:tcW w:type="dxa" w:w="3384"/>
            <w:shd w:val="clear" w:color="auto" w:fill="F3F6FB"/>
          </w:tcPr>
          <w:p>
            <w:pPr>
              <w:spacing w:after="20" w:line="240" w:lineRule="auto"/>
            </w:pPr>
            <w:r>
              <w:rPr>
                <w:sz w:val="18"/>
              </w:rPr>
              <w:t>Decoupling context: a decade-old coupling; earlier attempts stalled for lack of a pattern (portfolio, project 1)</w:t>
            </w:r>
          </w:p>
        </w:tc>
        <w:tc>
          <w:tcPr>
            <w:tcW w:type="dxa" w:w="1872"/>
            <w:shd w:val="clear" w:color="auto" w:fill="F3F6FB"/>
          </w:tcPr>
          <w:p>
            <w:pPr>
              <w:spacing w:after="20" w:line="240" w:lineRule="auto"/>
            </w:pPr>
            <w:r>
              <w:rPr>
                <w:sz w:val="18"/>
              </w:rPr>
              <w:t>Missing</w:t>
            </w:r>
          </w:p>
        </w:tc>
        <w:tc>
          <w:tcPr>
            <w:tcW w:type="dxa" w:w="2477"/>
            <w:shd w:val="clear" w:color="auto" w:fill="F3F6FB"/>
          </w:tcPr>
          <w:p>
            <w:pPr>
              <w:spacing w:after="20" w:line="240" w:lineRule="auto"/>
            </w:pPr>
            <w:r>
              <w:rPr>
                <w:sz w:val="18"/>
              </w:rPr>
              <w:t>Shows the problem was hard and that you broke a stalemate</w:t>
            </w:r>
          </w:p>
        </w:tc>
        <w:tc>
          <w:tcPr>
            <w:tcW w:type="dxa" w:w="2160"/>
            <w:shd w:val="clear" w:color="auto" w:fill="F3F6FB"/>
          </w:tcPr>
          <w:p>
            <w:pPr>
              <w:spacing w:after="20" w:line="240" w:lineRule="auto"/>
            </w:pPr>
            <w:r>
              <w:rPr>
                <w:sz w:val="18"/>
              </w:rPr>
              <w:t>Added</w:t>
            </w:r>
          </w:p>
        </w:tc>
      </w:tr>
      <w:tr>
        <w:trPr>
          <w:cantSplit/>
        </w:trPr>
        <w:tc>
          <w:tcPr>
            <w:tcW w:type="dxa" w:w="3384"/>
          </w:tcPr>
          <w:p>
            <w:pPr>
              <w:spacing w:after="20" w:line="240" w:lineRule="auto"/>
            </w:pPr>
            <w:r>
              <w:rPr>
                <w:sz w:val="18"/>
              </w:rPr>
              <w:t>DG/LLVM program slicer POC for C++ cone-of-influence analysis (since Aug 2026)</w:t>
            </w:r>
          </w:p>
        </w:tc>
        <w:tc>
          <w:tcPr>
            <w:tcW w:type="dxa" w:w="1872"/>
          </w:tcPr>
          <w:p>
            <w:pPr>
              <w:spacing w:after="20" w:line="240" w:lineRule="auto"/>
            </w:pPr>
            <w:r>
              <w:rPr>
                <w:sz w:val="18"/>
              </w:rPr>
              <w:t>Only as 'LLVM-adjacent'</w:t>
            </w:r>
          </w:p>
        </w:tc>
        <w:tc>
          <w:tcPr>
            <w:tcW w:type="dxa" w:w="2477"/>
          </w:tcPr>
          <w:p>
            <w:pPr>
              <w:spacing w:after="20" w:line="240" w:lineRule="auto"/>
            </w:pPr>
            <w:r>
              <w:rPr>
                <w:sz w:val="18"/>
              </w:rPr>
              <w:t>Current, technical; relevant to compiler, tooling and C++ analysis roles</w:t>
            </w:r>
          </w:p>
        </w:tc>
        <w:tc>
          <w:tcPr>
            <w:tcW w:type="dxa" w:w="2160"/>
          </w:tcPr>
          <w:p>
            <w:pPr>
              <w:spacing w:after="20" w:line="240" w:lineRule="auto"/>
            </w:pPr>
            <w:r>
              <w:rPr>
                <w:sz w:val="18"/>
              </w:rPr>
              <w:t>Added as a prototype line, with [confirm]</w:t>
            </w:r>
          </w:p>
        </w:tc>
      </w:tr>
      <w:tr>
        <w:trPr>
          <w:cantSplit/>
        </w:trPr>
        <w:tc>
          <w:tcPr>
            <w:tcW w:type="dxa" w:w="3384"/>
            <w:shd w:val="clear" w:color="auto" w:fill="F3F6FB"/>
          </w:tcPr>
          <w:p>
            <w:pPr>
              <w:spacing w:after="20" w:line="240" w:lineRule="auto"/>
            </w:pPr>
            <w:r>
              <w:rPr>
                <w:sz w:val="18"/>
              </w:rPr>
              <w:t>save_covdb: 40+ regression tests, ~2.5 years of sustained delivery (portfolio)</w:t>
            </w:r>
          </w:p>
        </w:tc>
        <w:tc>
          <w:tcPr>
            <w:tcW w:type="dxa" w:w="1872"/>
            <w:shd w:val="clear" w:color="auto" w:fill="F3F6FB"/>
          </w:tcPr>
          <w:p>
            <w:pPr>
              <w:spacing w:after="20" w:line="240" w:lineRule="auto"/>
            </w:pPr>
            <w:r>
              <w:rPr>
                <w:sz w:val="18"/>
              </w:rPr>
              <w:t>Missing</w:t>
            </w:r>
          </w:p>
        </w:tc>
        <w:tc>
          <w:tcPr>
            <w:tcW w:type="dxa" w:w="2477"/>
            <w:shd w:val="clear" w:color="auto" w:fill="F3F6FB"/>
          </w:tcPr>
          <w:p>
            <w:pPr>
              <w:spacing w:after="20" w:line="240" w:lineRule="auto"/>
            </w:pPr>
            <w:r>
              <w:rPr>
                <w:sz w:val="18"/>
              </w:rPr>
              <w:t>Durability and quality ownership</w:t>
            </w:r>
          </w:p>
        </w:tc>
        <w:tc>
          <w:tcPr>
            <w:tcW w:type="dxa" w:w="2160"/>
            <w:shd w:val="clear" w:color="auto" w:fill="F3F6FB"/>
          </w:tcPr>
          <w:p>
            <w:pPr>
              <w:spacing w:after="20" w:line="240" w:lineRule="auto"/>
            </w:pPr>
            <w:r>
              <w:rPr>
                <w:sz w:val="18"/>
              </w:rPr>
              <w:t>Test count added</w:t>
            </w:r>
          </w:p>
        </w:tc>
      </w:tr>
      <w:tr>
        <w:trPr>
          <w:cantSplit/>
        </w:trPr>
        <w:tc>
          <w:tcPr>
            <w:tcW w:type="dxa" w:w="3384"/>
          </w:tcPr>
          <w:p>
            <w:pPr>
              <w:spacing w:after="20" w:line="240" w:lineRule="auto"/>
            </w:pPr>
            <w:r>
              <w:rPr>
                <w:sz w:val="18"/>
              </w:rPr>
              <w:t>Cores lift: Base 1 to 4, Elite 4 to 12 (July plan file)</w:t>
            </w:r>
          </w:p>
        </w:tc>
        <w:tc>
          <w:tcPr>
            <w:tcW w:type="dxa" w:w="1872"/>
          </w:tcPr>
          <w:p>
            <w:pPr>
              <w:spacing w:after="20" w:line="240" w:lineRule="auto"/>
            </w:pPr>
            <w:r>
              <w:rPr>
                <w:sz w:val="18"/>
              </w:rPr>
              <w:t>EDA only, as product names</w:t>
            </w:r>
          </w:p>
        </w:tc>
        <w:tc>
          <w:tcPr>
            <w:tcW w:type="dxa" w:w="2477"/>
          </w:tcPr>
          <w:p>
            <w:pPr>
              <w:spacing w:after="20" w:line="240" w:lineRule="auto"/>
            </w:pPr>
            <w:r>
              <w:rPr>
                <w:sz w:val="18"/>
              </w:rPr>
              <w:t>A concrete customer capacity change</w:t>
            </w:r>
          </w:p>
        </w:tc>
        <w:tc>
          <w:tcPr>
            <w:tcW w:type="dxa" w:w="2160"/>
          </w:tcPr>
          <w:p>
            <w:pPr>
              <w:spacing w:after="20" w:line="240" w:lineRule="auto"/>
            </w:pPr>
            <w:r>
              <w:rPr>
                <w:sz w:val="18"/>
              </w:rPr>
              <w:t>EDA version; verify the numbers</w:t>
            </w:r>
          </w:p>
        </w:tc>
      </w:tr>
      <w:tr>
        <w:trPr>
          <w:cantSplit/>
        </w:trPr>
        <w:tc>
          <w:tcPr>
            <w:tcW w:type="dxa" w:w="3384"/>
            <w:shd w:val="clear" w:color="auto" w:fill="F3F6FB"/>
          </w:tcPr>
          <w:p>
            <w:pPr>
              <w:spacing w:after="20" w:line="240" w:lineRule="auto"/>
            </w:pPr>
            <w:r>
              <w:rPr>
                <w:sz w:val="18"/>
              </w:rPr>
              <w:t>10-year licensing thread: Adobe deactivation, then the Synopsys three-phase program</w:t>
            </w:r>
          </w:p>
        </w:tc>
        <w:tc>
          <w:tcPr>
            <w:tcW w:type="dxa" w:w="1872"/>
            <w:shd w:val="clear" w:color="auto" w:fill="F3F6FB"/>
          </w:tcPr>
          <w:p>
            <w:pPr>
              <w:spacing w:after="20" w:line="240" w:lineRule="auto"/>
            </w:pPr>
            <w:r>
              <w:rPr>
                <w:sz w:val="18"/>
              </w:rPr>
              <w:t>Implicit</w:t>
            </w:r>
          </w:p>
        </w:tc>
        <w:tc>
          <w:tcPr>
            <w:tcW w:type="dxa" w:w="2477"/>
            <w:shd w:val="clear" w:color="auto" w:fill="F3F6FB"/>
          </w:tcPr>
          <w:p>
            <w:pPr>
              <w:spacing w:after="20" w:line="240" w:lineRule="auto"/>
            </w:pPr>
            <w:r>
              <w:rPr>
                <w:sz w:val="18"/>
              </w:rPr>
              <w:t>A differentiator for Cadence / Siemens licensing and platform teams</w:t>
            </w:r>
          </w:p>
        </w:tc>
        <w:tc>
          <w:tcPr>
            <w:tcW w:type="dxa" w:w="2160"/>
            <w:shd w:val="clear" w:color="auto" w:fill="F3F6FB"/>
          </w:tcPr>
          <w:p>
            <w:pPr>
              <w:spacing w:after="20" w:line="240" w:lineRule="auto"/>
            </w:pPr>
            <w:r>
              <w:rPr>
                <w:sz w:val="18"/>
              </w:rPr>
              <w:t>Use in EDA interviews and cover notes</w:t>
            </w:r>
          </w:p>
        </w:tc>
      </w:tr>
      <w:tr>
        <w:trPr>
          <w:cantSplit/>
        </w:trPr>
        <w:tc>
          <w:tcPr>
            <w:tcW w:type="dxa" w:w="3384"/>
          </w:tcPr>
          <w:p>
            <w:pPr>
              <w:spacing w:after="20" w:line="240" w:lineRule="auto"/>
            </w:pPr>
            <w:r>
              <w:rPr>
                <w:sz w:val="18"/>
              </w:rPr>
              <w:t>190 submitted changes; 50+ code reviews (P4)</w:t>
            </w:r>
          </w:p>
        </w:tc>
        <w:tc>
          <w:tcPr>
            <w:tcW w:type="dxa" w:w="1872"/>
          </w:tcPr>
          <w:p>
            <w:pPr>
              <w:spacing w:after="20" w:line="240" w:lineRule="auto"/>
            </w:pPr>
            <w:r>
              <w:rPr>
                <w:sz w:val="18"/>
              </w:rPr>
              <w:t>Missing</w:t>
            </w:r>
          </w:p>
        </w:tc>
        <w:tc>
          <w:tcPr>
            <w:tcW w:type="dxa" w:w="2477"/>
          </w:tcPr>
          <w:p>
            <w:pPr>
              <w:spacing w:after="20" w:line="240" w:lineRule="auto"/>
            </w:pPr>
            <w:r>
              <w:rPr>
                <w:sz w:val="18"/>
              </w:rPr>
              <w:t>Volume isn't impact. Reviews of other teams' code would be influence</w:t>
            </w:r>
          </w:p>
        </w:tc>
        <w:tc>
          <w:tcPr>
            <w:tcW w:type="dxa" w:w="2160"/>
          </w:tcPr>
          <w:p>
            <w:pPr>
              <w:spacing w:after="20" w:line="240" w:lineRule="auto"/>
            </w:pPr>
            <w:r>
              <w:rPr>
                <w:sz w:val="18"/>
              </w:rPr>
              <w:t>Leave off unless the reviews span teams [confirm]</w:t>
            </w:r>
          </w:p>
        </w:tc>
      </w:tr>
    </w:tbl>
    <w:p>
      <w:pPr>
        <w:spacing w:after="40"/>
      </w:pPr>
    </w:p>
    <w:p>
      <w:r>
        <w:rPr>
          <w:b/>
        </w:rPr>
        <w:t>Evidence I couldn't find, which the Staff bar asks for.</w:t>
      </w:r>
      <w:r>
        <w:t xml:space="preserve"> Answer these. Any 'yes' is a page-1 line; any 'no' shows where to invest next quarter:</w:t>
      </w:r>
    </w:p>
    <w:p>
      <w:pPr>
        <w:pStyle w:val="ListBullet"/>
      </w:pPr>
      <w:r>
        <w:t>Did you write design docs others built from (the options layer, the licensing fallback)? Who reviewed them?</w:t>
      </w:r>
    </w:p>
    <w:p>
      <w:pPr>
        <w:pStyle w:val="ListBullet"/>
      </w:pPr>
      <w:r>
        <w:t>Do other engineers contribute to the coverage subsystem under your direction? How many?</w:t>
      </w:r>
    </w:p>
    <w:p>
      <w:pPr>
        <w:pStyle w:val="ListBullet"/>
      </w:pPr>
      <w:r>
        <w:t>Have you sat on interview panels, or onboarded new hires onto coverage or licensing?</w:t>
      </w:r>
    </w:p>
    <w:p>
      <w:pPr>
        <w:pStyle w:val="ListBullet"/>
      </w:pPr>
      <w:r>
        <w:t>Did the options-layer pattern become a documented standard for other teams?</w:t>
      </w:r>
    </w:p>
    <w:p>
      <w:pPr>
        <w:pStyle w:val="ListBullet"/>
      </w:pPr>
      <w:r>
        <w:t>Did you lead any cross-team effort beyond your subsystem (with Verdi, the solver team, or licensing/IT)?</w:t>
      </w:r>
    </w:p>
    <w:p>
      <w:pPr>
        <w:pStyle w:val="Heading1"/>
      </w:pPr>
      <w:r>
        <w:t>8. What wording can't fix</w:t>
      </w:r>
    </w:p>
    <w:p>
      <w:r>
        <w:rPr>
          <w:b/>
        </w:rPr>
        <w:t>Scope.</w:t>
      </w:r>
      <w:r>
        <w:t xml:space="preserve"> FAANG Staff panels typically look for technical direction across two or more teams, design docs other people execute, and a multi-quarter roadmap you set. Your page shows one subsystem you own and one refactor two engineers adopted. That's strong Senior scope, not Staff scope, and better sentences won't change it.</w:t>
      </w:r>
    </w:p>
    <w:p>
      <w:r>
        <w:rPr>
          <w:b/>
        </w:rPr>
        <w:t>Distributed systems.</w:t>
      </w:r>
      <w:r>
        <w:t xml:space="preserve"> There's no production ownership at scale and no on-call service. The system-design round has to carry this, and articulating your own work under pressure is the weak spot you've already named. Prepare the three stories (decoupling, licensing, coverage ownership) in the problem, then choice, then result, then adoption shape the rewrites use.</w:t>
      </w:r>
    </w:p>
    <w:p>
      <w:r>
        <w:rPr>
          <w:b/>
        </w:rPr>
        <w:t>What moves the ceiling in the next 1-3 months, while you're still at Synopsys:</w:t>
      </w:r>
    </w:p>
    <w:p>
      <w:pPr>
        <w:spacing w:after="60"/>
        <w:ind w:left="432" w:hanging="317"/>
      </w:pPr>
      <w:r>
        <w:rPr>
          <w:b/>
        </w:rPr>
        <w:t xml:space="preserve">1.  </w:t>
      </w:r>
      <w:r>
        <w:t>Turn the AI tooling into team adoption: 2-3 users and a triage number measured across them. This is the fastest route to a real leverage bullet.</w:t>
      </w:r>
    </w:p>
    <w:p>
      <w:pPr>
        <w:spacing w:after="60"/>
        <w:ind w:left="432" w:hanging="317"/>
      </w:pPr>
      <w:r>
        <w:rPr>
          <w:b/>
        </w:rPr>
        <w:t xml:space="preserve">2.  </w:t>
      </w:r>
      <w:r>
        <w:t>Write the program-slicer design doc and get it reviewed across teams. That's direction-setting evidence.</w:t>
      </w:r>
    </w:p>
    <w:p>
      <w:pPr>
        <w:spacing w:after="60"/>
        <w:ind w:left="432" w:hanging="317"/>
      </w:pPr>
      <w:r>
        <w:rPr>
          <w:b/>
        </w:rPr>
        <w:t xml:space="preserve">3.  </w:t>
      </w:r>
      <w:r>
        <w:t>Get the decoupling build-time or rebuild-count number from the IWYU reports.</w:t>
      </w:r>
    </w:p>
    <w:p>
      <w:pPr>
        <w:spacing w:after="60"/>
        <w:ind w:left="432" w:hanging="317"/>
      </w:pPr>
      <w:r>
        <w:rPr>
          <w:b/>
        </w:rPr>
        <w:t xml:space="preserve">4.  </w:t>
      </w:r>
      <w:r>
        <w:t>Publish 2-3 prototypes (Bitcask, Bloom filter, consistent hashing) with a README and benchmarks. Then Go and a GitHub link can go back on.</w:t>
      </w:r>
    </w:p>
    <w:p>
      <w:pPr>
        <w:spacing w:after="60"/>
        <w:ind w:left="432" w:hanging="317"/>
      </w:pPr>
      <w:r>
        <w:rPr>
          <w:b/>
        </w:rPr>
        <w:t xml:space="preserve">5.  </w:t>
      </w:r>
      <w:r>
        <w:t>Ask for two LinkedIn recommendations: a Microsoft manager or peer, and someone who saw the decoupling work.</w:t>
      </w:r>
    </w:p>
    <w:p>
      <w:pPr>
        <w:pStyle w:val="Heading1"/>
      </w:pPr>
      <w:r>
        <w:t>9. Answer these, then regenerate</w:t>
      </w:r>
    </w:p>
    <w:p>
      <w:r>
        <w:t>Every [confirm] in the reviewed files, in one list. 'There's no number' is a valid answer; the sentence gets reworded around it.</w:t>
      </w:r>
    </w:p>
    <w:p>
      <w:pPr>
        <w:spacing w:after="60"/>
        <w:ind w:left="432" w:hanging="317"/>
      </w:pPr>
      <w:r>
        <w:rPr>
          <w:b/>
        </w:rPr>
        <w:t xml:space="preserve">1.  </w:t>
      </w:r>
      <w:r>
        <w:t>HR record: the Synopsys promotion month, and Adobe's exact titles (MTS / MTS 2 / SDE 2?).</w:t>
      </w:r>
    </w:p>
    <w:p>
      <w:pPr>
        <w:spacing w:after="60"/>
        <w:ind w:left="432" w:hanging="317"/>
      </w:pPr>
      <w:r>
        <w:rPr>
          <w:b/>
        </w:rPr>
        <w:t xml:space="preserve">2.  </w:t>
      </w:r>
      <w:r>
        <w:t>Coverage subsystem: sole owner, or leading N engineers?</w:t>
      </w:r>
    </w:p>
    <w:p>
      <w:pPr>
        <w:spacing w:after="60"/>
        <w:ind w:left="432" w:hanging="317"/>
      </w:pPr>
      <w:r>
        <w:rPr>
          <w:b/>
        </w:rPr>
        <w:t xml:space="preserve">3.  </w:t>
      </w:r>
      <w:r>
        <w:t>Decoupling: build-time or rebuild-count effect, and how many teams consume the shared layer.</w:t>
      </w:r>
    </w:p>
    <w:p>
      <w:pPr>
        <w:spacing w:after="60"/>
        <w:ind w:left="432" w:hanging="317"/>
      </w:pPr>
      <w:r>
        <w:rPr>
          <w:b/>
        </w:rPr>
        <w:t xml:space="preserve">4.  </w:t>
      </w:r>
      <w:r>
        <w:t>AI tooling: does anyone besides you use it?</w:t>
      </w:r>
    </w:p>
    <w:p>
      <w:pPr>
        <w:spacing w:after="60"/>
        <w:ind w:left="432" w:hanging="317"/>
      </w:pPr>
      <w:r>
        <w:rPr>
          <w:b/>
        </w:rPr>
        <w:t xml:space="preserve">5.  </w:t>
      </w:r>
      <w:r>
        <w:t>Recording Studio: sessions or MAU, and which part was only yours.</w:t>
      </w:r>
    </w:p>
    <w:p>
      <w:pPr>
        <w:spacing w:after="60"/>
        <w:ind w:left="432" w:hanging="317"/>
      </w:pPr>
      <w:r>
        <w:rPr>
          <w:b/>
        </w:rPr>
        <w:t xml:space="preserve">6.  </w:t>
      </w:r>
      <w:r>
        <w:t>SKU filtering: sev-2 count after the fix (or 'none since').</w:t>
      </w:r>
    </w:p>
    <w:p>
      <w:pPr>
        <w:spacing w:after="60"/>
        <w:ind w:left="432" w:hanging="317"/>
      </w:pPr>
      <w:r>
        <w:rPr>
          <w:b/>
        </w:rPr>
        <w:t xml:space="preserve">7.  </w:t>
      </w:r>
      <w:r>
        <w:t>Density reporting: which customers adopted it.</w:t>
      </w:r>
    </w:p>
    <w:p>
      <w:pPr>
        <w:spacing w:after="60"/>
        <w:ind w:left="432" w:hanging="317"/>
      </w:pPr>
      <w:r>
        <w:rPr>
          <w:b/>
        </w:rPr>
        <w:t xml:space="preserve">8.  </w:t>
      </w:r>
      <w:r>
        <w:t>Save/restore: which customer flow it unblocked.</w:t>
      </w:r>
    </w:p>
    <w:p>
      <w:pPr>
        <w:spacing w:after="60"/>
        <w:ind w:left="432" w:hanging="317"/>
      </w:pPr>
      <w:r>
        <w:rPr>
          <w:b/>
        </w:rPr>
        <w:t xml:space="preserve">9.  </w:t>
      </w:r>
      <w:r>
        <w:t>Program slicer: your role, and whether it can be named publicly.</w:t>
      </w:r>
    </w:p>
    <w:p>
      <w:pPr>
        <w:spacing w:after="60"/>
        <w:ind w:left="432" w:hanging="317"/>
      </w:pPr>
      <w:r>
        <w:rPr>
          <w:b/>
        </w:rPr>
        <w:t xml:space="preserve">10.  </w:t>
      </w:r>
      <w:r>
        <w:t>Code reviews: were the 50+ reviews of other people's changes, and from which teams?</w:t>
      </w:r>
    </w:p>
    <w:p>
      <w:pPr>
        <w:spacing w:after="60"/>
        <w:ind w:left="432" w:hanging="317"/>
      </w:pPr>
      <w:r>
        <w:rPr>
          <w:b/>
        </w:rPr>
        <w:t xml:space="preserve">11.  </w:t>
      </w:r>
      <w:r>
        <w:t>Licensing: verify Base 1 to 4 and Elite 4 to 12 against the Apex docs.</w:t>
      </w:r>
    </w:p>
    <w:p>
      <w:pPr>
        <w:spacing w:after="60"/>
        <w:ind w:left="432" w:hanging="317"/>
      </w:pPr>
      <w:r>
        <w:rPr>
          <w:b/>
        </w:rPr>
        <w:t xml:space="preserve">12.  </w:t>
      </w:r>
      <w:r>
        <w:t>The five Staff-evidence questions in section 7.</w:t>
      </w:r>
    </w:p>
    <w:p>
      <w:pPr>
        <w:pStyle w:val="Heading1"/>
      </w:pPr>
      <w:r>
        <w:t>10. Files</w:t>
      </w:r>
    </w:p>
    <w:p>
      <w:pPr>
        <w:pStyle w:val="ListBullet"/>
      </w:pPr>
      <w:r>
        <w:rPr>
          <w:b/>
        </w:rPr>
        <w:t>resume_reviewed_faang.docx</w:t>
      </w:r>
      <w:r>
        <w:t xml:space="preserve"> and </w:t>
      </w:r>
      <w:r>
        <w:rPr>
          <w:b/>
        </w:rPr>
        <w:t>resume_reviewed_eda.docx</w:t>
      </w:r>
      <w:r>
        <w:t>: open in Word and use Review &gt; Reviewing Pane to read the full comments (the print margin truncates long ones). Accept or reject per bullet; Accept All produces the rewrite. Then fill the [confirm] brackets.</w:t>
      </w:r>
    </w:p>
    <w:p>
      <w:pPr>
        <w:pStyle w:val="ListBullet"/>
      </w:pPr>
      <w:r>
        <w:rPr>
          <w:b/>
        </w:rPr>
        <w:t>resume_recommendations.docx</w:t>
      </w:r>
      <w:r>
        <w:t>: this file.</w:t>
      </w:r>
    </w:p>
    <w:p>
      <w:pPr>
        <w:pStyle w:val="ListBullet"/>
      </w:pPr>
      <w:r>
        <w:t xml:space="preserve">The originals are untouched. The tooling that produced these (inspect, redline, Word export, build from markdown) is the </w:t>
      </w:r>
      <w:r>
        <w:rPr>
          <w:rFonts w:ascii="Consolas" w:hAnsi="Consolas"/>
          <w:sz w:val="19"/>
        </w:rPr>
        <w:t>resume-docx</w:t>
      </w:r>
      <w:r>
        <w:t xml:space="preserve"> skill in ~/.claude/skills/resume-docx.</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color w:val="0F0F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i w:val="0"/>
      <w:color w:val="3C78D8"/>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b/>
      <w:bCs/>
      <w:i w:val="0"/>
      <w:color w:val="3C78D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libri" w:hAnsi="Calibri"/>
      <w:b/>
      <w:bCs/>
      <w:i w:val="0"/>
      <w:color w:val="0F0F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Calibri" w:hAnsi="Calibri"/>
      <w:b/>
      <w:i w:val="0"/>
      <w:color w:val="3C78D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review: Staff / Principal bar</dc:title>
  <dc:subject/>
  <dc:creator>Anuj Pratap Singh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