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2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Проект полосы отвода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/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01572000003200008940001-10/20-П-ППО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2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2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Проект полосы отвода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/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01572000003200008940001-10/20-П-ППО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2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