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著作権声明</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この株式サービスの所有権と知的財産権は、会社に帰属します。会社の明示的な許可なく、個人または組織は無断で複製、改変、配布、展示、送信、またはその他の許可されていない使用を行ってはなりません。</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2. ユーザーは、この株式サービスを通じて入手した情報やコンテンツに対して限定的な個人使用権を持ちます。ユーザーは、再販、転売、出版、放送、その他の商業取引を含む商業目的でこの情報やコンテンツを使用することは禁止されてい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3. この株式サービスが提供するさまざまな情報やコンテンツ（株式市場情報、リアルタイムの株価、金融データ、分析レポート、投資アドバイスなどを含む）は、参考および意思決定支援の目的で提供されるものです。これらは投資助言や株式の直接的な買い付けまたは売却の提案を構成するものではありません。ユーザーは、投資決定のリスクを独自に負担し、市場のリスク、個人の投資能力、および財務状況を十分に評価する必要があり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4. 会社は、この株式サービスによって提供される情報の正確性と信頼性を確保するために合理的な努力を行っています。ただし、株式市場の動向、投資のリターンや損失に関して明示的または暗黙の保証や約束をするものではありません。ユーザーは、この株式サービスを利用する際に関連情報の正確性と適用性を自己の判断で評価する必要があり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5. 会社は、いつでもこの株式サービスを変更、一時停止、または終了する権利を留保し、それによって生じる損失や損害について責任を負いません。会社はシステムのメンテナンス、アップグレード、その他の合理的な要因に基づいて株式サービス全体または一部の使用を一時停止または制限する場合があり、ユーザ</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ーはそのような事態が発生する可能性を認識し理解する必要があります。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6. ユーザーは、この株式サービスを使用する際に、自国または地域の関連法令を遵守し、以下の規定に従う必要があります: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詐欺、マネーロンダリング、内部取引などを含む違法な行為や行動を行わないこと。</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 悪意のあるソフトウェアの使用、ネットワーク攻撃など、会社のシステムとサービスの正常な運営に干渉したり、妨害したりしないこと。</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虚偽の報告、誤解を招く情報、他人の合法的な権利と利益を侵害する情報などを広めないこと。</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7. 会社は、ユーザーの個人情報を適切に保護するための合理的なセキュリティ対策を講じ、所在国または地域の関連するプライバシー法令を遵守します。会社は、株式サービスの提供と改善に必要な場合にのみ、ユーザーの個人情報を収集、保管、利用し、ユーザーの承認または法律による要求がない限り、ユーザーの個人情報を第三者に開示しません。</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8. ユーザーがこの著作権声明の条件に違反した場合、会社は警告、制限、またはユーザーのアカウント使用許可の終了など、適切な措置を講じる権利を有し、ユーザーに対する法的責任を追及する権利を留保し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9. この著作権声明に適用される法は、所在国または地域の法律です。この著作権声明に関連する紛争が発生した場合、ユーザーと会社は友好的な協議を通じて解決を試みるものとします。協議が不調に終わった場合、ユーザーと会社は訴訟の管轄権を有する適切な裁判所に提出することに同意し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10. この著作権声明の条項のいずれかが無効または執行不能とされた場合、その条項は著作権声明から独立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して扱われ、他の条項の有効性と執行可能性には影響しません。</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11. 会社の株式サービスに含まれるすべてのコンテンツ（テキスト、画像、チャート、アイコン、データ、レポート、分析、チャート、ソフトウェアなどを含む）は、著作権法および他の知的財産法によって保護されています。会社の明示的な許可を得ずに、ユーザーはこのコンテンツを複製、改変、配布、販売、譲渡、または利用することはできません。</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12. 会社は、この株式サービスによって提供されるコンテンツの正確性、完全性、適時性、信頼性について明示的または暗黙の保証や表現を行いません。ユーザーは、このコンテンツの使用に伴うリスクを自己の負担とし、投資の決定を行う前に関連情報を独自に検証し評価する必要があり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13. ユーザーは、この株式サービスの利用時に証券法、金融法、知的財産法などの適用法令を遵守する必要があります。ユーザーは、このサービスを利用して内部取引、市場操作、他人のアカウントへの不正アクセスなどの違法な行為を行うことは禁止されていま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14. この株式サービスには、サードパーティーからの研究レポート、アナリストの意見、または他の投資アドバイスが含まれる場合があります。これらのコンテンツは一般情報提供の目的でのみ提供され、特定の株式に対する推奨や投資アドバイスを構成するものではありません。ユーザーは、これらのコンテンツを評価し、投資の決定を行う前に専門の金融アドバイザーに相談する必要があります。</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15. この株式サービスの利用中にユーザーが直接的または間接的に発生した利益の損失、データの損失、ビジネスの中断など、契約、不法行為（過失を含む）、保証、その他の法的理論</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に基づく損害賠償請求について、会社は一切の責任を負いません。</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以上が著作権声明の内容です。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16. ユーザーは、会社の商標、ロゴ、名称、その他の知的財産を、会社の明示的な許可なしに使用することはできません。会社の株式サービスに関連する派生作品の作成、ソースコードの逆アセンブル、解読、その他の手段によるソースコードの入手なども、会社の明示的な許可なしに行うことはできません。</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この株式サービスの利用前に、この著作権声明を注意深く読み、理解してください。この著作権声明は、会社とユーザーとの間の法的拘束力のある契約です。ユーザーがこの声明のいかなる部分にも同意しない場合は、このサービスの利用を中止してください。</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