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版权声明</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 本股票服务的所有权和知识产权归公司所有。未经公司明确许可，任何个人或组织不得以任何形式复制、修改、分发、展示、传播或进行其他未经授权的使用。</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2. 用户对通过本股票服务获取的信息和内容仅享有有限的个人使用权。用户不得将这些信息和内容用于商业目的，包括但不限于再发布、转售、出版、广播或用于其他商业交易。</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3. 本股票服务提供的各类信息和内容（包括但不限于股票市场的相关信息、实时报价、财务数据、分析报告、投资建议等）仅供用户参考和决策支持，不构成任何形式的投资建议或买卖股票的直接要约。用户应自行承担投资决策的风险，并在决策前全面评估市场风险、个人投资能力和财务状况。</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4. 公司已采取合理的努力确保本股票服务提供的信息的准确性和可靠性，但不对股票市场的走势、投资收益或损失做出任何明示或暗示的保证或承诺。用户在使用本股票服务时应自行判断和评估相关信息的准确性和适用性。</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5. 公司保留随时修改、暂停或终止本股票服务的权利，并不对因此造成的任何损失或损害承担责任。公司可能会基于系统维护、升级或其他合理因素暂停或限制部分或全部股票服务的使用，用户应事先了解并理解这种情况可能发生。</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6. 用户在使用本股票服务时应遵守所在国家或地区的相关法律法规，并遵守以下规定：</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 不得从事任何非法活动或违反法律法规的行为，包括但不限于欺诈、洗钱、内幕交易等。</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 不得干扰、破坏、侵入公司系统和服务的正常运行，包括但不限于使用恶意软件、进行网络攻击等行为。</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 不得传播虚假、误导性或侵犯他人合法权益的信息，包括但不限于虚假报道、不实评论等。</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7. 公司将采取合理的安全措施保护用户的个人信息，并遵守所在国家或地区的相关隐私法律和法规。公司将仅在必要的情况下收集、存储和</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使用用户的个人信息，用于提供和改进股票服务，并不会将用户的个人信息透露给任何未经授权的第三方，除非获得用户的明确授权或法律规定。</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8. 用户违反本版权声明的任何条款，公司有权采取相应措施，包括但不限于警告、限制或终止用户的账户使用权限，并保留追究用户法律责任的权利。</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9. 本版权声明适用法律为所在国家或地区的法律。如发生与本版权声明有关的争议，用户和公司应通过友好协商解决；协商不成的，用户和公司同意提交有管辖权的法院诉讼解决。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10. 如果本版权声明的任何条款被认定为无效或不可执行，该条款将被视为与版权声明分离，不影响其他条款的有效性和可执行性。</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11. 公司的股票服务所包含的所有内容，包括但不限于文本、图像、图表、图标、数据、报告、分析、图表和软件（以下统称为“内容”），均受版权法和其他知识产权法律的保护。除非获得公司明确授权，用户不得以任何形式复制、修改、传播、出售、转让或利用这些内容。</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12. 公司对于本股票服务所提供的任何内容的准确性、完整性、及时性或可靠性不作任何明示或暗示的保证或陈述。用户应自行承担使用这些内容所带来的风险，并在进行任何投资决策之前，对相关信息进行充分的独立验证和评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13. 用户在使用本股票服务时应遵守适用的法律法规，包括但不限于证券法规、金融法规和知识产权法规。用户不得利用本服务从事任何非法活动，包括但不限于内幕交易、操纵市场或未经授权访问他人账户等行为。</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14. 本股票服务可能包含来自第三方的研究报告、分析师意见或其他投资建议。这些内容仅作为一般性信息提供，并不构成对特定股票的推荐或投资建议。用户应自行判断和评估这些内容，并在基于这些信息进行投资决策之前，咨询专业的金融顾问。</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15. 公司对于用户在使用本股票服务过程中遭受的任何直接、间接、偶然、特殊或继起的损失或损害，包括但不限于利润损失、数据丢失或业务中断，不承担任何责任，无论是合同、侵权（包括过失）、保证还是其他法律理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16. 除非经公司书面许可，用户不得以任何方式使用公司的商标、标识、名称或其他知识产权。未经公司明确许可，用户不得创建与公司股票服务相关的衍生作品或进行逆向工程、反编译、反汇编或其他试图获取源代码的行为。</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请用户在使用本股票服务之前仔细阅读并理解这些条款。本版权声明是公司与用户之间关于股票服务的约定，具有法律约束力。如果用户不同意本声明的任何部分，请停止使用本服务。</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